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34" w:type="dxa"/>
        <w:tblLayout w:type="fixed"/>
        <w:tblLook w:val="0000" w:firstRow="0" w:lastRow="0" w:firstColumn="0" w:lastColumn="0" w:noHBand="0" w:noVBand="0"/>
      </w:tblPr>
      <w:tblGrid>
        <w:gridCol w:w="4111"/>
        <w:gridCol w:w="5103"/>
      </w:tblGrid>
      <w:tr w:rsidR="002619EF" w:rsidRPr="005A130C" w:rsidTr="00261ADA">
        <w:tc>
          <w:tcPr>
            <w:tcW w:w="4111" w:type="dxa"/>
          </w:tcPr>
          <w:p w:rsidR="002619EF" w:rsidRPr="005A130C" w:rsidRDefault="002619EF" w:rsidP="002619EF">
            <w:pPr>
              <w:tabs>
                <w:tab w:val="left" w:pos="34"/>
              </w:tabs>
              <w:spacing w:before="120"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5A130C">
              <w:rPr>
                <w:rFonts w:ascii="Times New Roman" w:hAnsi="Times New Roman" w:cs="Times New Roman"/>
                <w:b/>
                <w:color w:val="000000" w:themeColor="text1"/>
              </w:rPr>
              <w:t xml:space="preserve">BỘ </w:t>
            </w:r>
            <w:r>
              <w:rPr>
                <w:rFonts w:ascii="Times New Roman" w:hAnsi="Times New Roman" w:cs="Times New Roman"/>
                <w:b/>
                <w:color w:val="000000" w:themeColor="text1"/>
              </w:rPr>
              <w:t>GIÁO DỤC VÀ ĐÀO TẠO</w:t>
            </w:r>
          </w:p>
          <w:p w:rsidR="002619EF" w:rsidRPr="005A130C" w:rsidRDefault="002619EF" w:rsidP="00261ADA">
            <w:pPr>
              <w:spacing w:before="120" w:after="0" w:line="240" w:lineRule="auto"/>
              <w:rPr>
                <w:rFonts w:ascii="Times New Roman" w:hAnsi="Times New Roman" w:cs="Times New Roman"/>
                <w:color w:val="000000" w:themeColor="text1"/>
                <w:sz w:val="28"/>
                <w:szCs w:val="28"/>
              </w:rPr>
            </w:pPr>
            <w:r w:rsidRPr="005A130C">
              <w:rPr>
                <w:rFonts w:ascii="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18E84054" wp14:editId="20F89F7F">
                      <wp:simplePos x="0" y="0"/>
                      <wp:positionH relativeFrom="column">
                        <wp:posOffset>574040</wp:posOffset>
                      </wp:positionH>
                      <wp:positionV relativeFrom="paragraph">
                        <wp:posOffset>20955</wp:posOffset>
                      </wp:positionV>
                      <wp:extent cx="1136650" cy="0"/>
                      <wp:effectExtent l="6985" t="6985" r="889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7123"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65pt" to="13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uz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"/>
                  </w:pict>
                </mc:Fallback>
              </mc:AlternateContent>
            </w:r>
            <w:r w:rsidRPr="005A130C">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hidden="0" allowOverlap="1" wp14:anchorId="7D0BA1D3" wp14:editId="424C21ED">
                      <wp:simplePos x="0" y="0"/>
                      <wp:positionH relativeFrom="column">
                        <wp:posOffset>635000</wp:posOffset>
                      </wp:positionH>
                      <wp:positionV relativeFrom="paragraph">
                        <wp:posOffset>25400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777675" y="3780000"/>
                                <a:ext cx="11366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1F2BF27" id="_x0000_t32" coordsize="21600,21600" o:spt="32" o:oned="t" path="m,l21600,21600e" filled="f">
                      <v:path arrowok="t" fillok="f" o:connecttype="none"/>
                      <o:lock v:ext="edit" shapetype="t"/>
                    </v:shapetype>
                    <v:shape id="Straight Arrow Connector 10" o:spid="_x0000_s1026" type="#_x0000_t32" style="position:absolute;margin-left:50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"/>
                  </w:pict>
                </mc:Fallback>
              </mc:AlternateContent>
            </w:r>
          </w:p>
          <w:p w:rsidR="002619EF" w:rsidRPr="005A130C" w:rsidRDefault="002619EF" w:rsidP="00261ADA">
            <w:pPr>
              <w:spacing w:before="120" w:after="0" w:line="240" w:lineRule="auto"/>
              <w:jc w:val="center"/>
              <w:rPr>
                <w:rFonts w:ascii="Times New Roman" w:hAnsi="Times New Roman" w:cs="Times New Roman"/>
                <w:color w:val="000000" w:themeColor="text1"/>
                <w:sz w:val="28"/>
                <w:szCs w:val="28"/>
              </w:rPr>
            </w:pPr>
            <w:r w:rsidRPr="005A130C">
              <w:rPr>
                <w:rFonts w:ascii="Times New Roman" w:hAnsi="Times New Roman" w:cs="Times New Roman"/>
                <w:b/>
                <w:noProof/>
                <w:color w:val="000000" w:themeColor="text1"/>
                <w:sz w:val="28"/>
                <w:szCs w:val="28"/>
              </w:rPr>
              <mc:AlternateContent>
                <mc:Choice Requires="wps">
                  <w:drawing>
                    <wp:anchor distT="45720" distB="45720" distL="114300" distR="114300" simplePos="0" relativeHeight="251664384" behindDoc="0" locked="0" layoutInCell="1" allowOverlap="1" wp14:anchorId="7DBE47C0" wp14:editId="07D39BF8">
                      <wp:simplePos x="0" y="0"/>
                      <wp:positionH relativeFrom="column">
                        <wp:posOffset>551229</wp:posOffset>
                      </wp:positionH>
                      <wp:positionV relativeFrom="paragraph">
                        <wp:posOffset>453390</wp:posOffset>
                      </wp:positionV>
                      <wp:extent cx="1040765" cy="351155"/>
                      <wp:effectExtent l="0" t="0" r="260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351155"/>
                              </a:xfrm>
                              <a:prstGeom prst="rect">
                                <a:avLst/>
                              </a:prstGeom>
                              <a:solidFill>
                                <a:srgbClr val="FFFFFF"/>
                              </a:solidFill>
                              <a:ln w="9525">
                                <a:solidFill>
                                  <a:srgbClr val="000000"/>
                                </a:solidFill>
                                <a:miter lim="800000"/>
                                <a:headEnd/>
                                <a:tailEnd/>
                              </a:ln>
                            </wps:spPr>
                            <wps:txbx>
                              <w:txbxContent>
                                <w:p w:rsidR="002619EF" w:rsidRPr="00376E09" w:rsidRDefault="002619EF" w:rsidP="002619EF">
                                  <w:pPr>
                                    <w:jc w:val="center"/>
                                    <w:rPr>
                                      <w:rFonts w:ascii="Times New Roman" w:hAnsi="Times New Roman" w:cs="Times New Roman"/>
                                    </w:rPr>
                                  </w:pPr>
                                  <w:r w:rsidRPr="00376E09">
                                    <w:rPr>
                                      <w:rFonts w:ascii="Times New Roman" w:hAnsi="Times New Roman" w:cs="Times New Roman"/>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E47C0" id="_x0000_t202" coordsize="21600,21600" o:spt="202" path="m,l,21600r21600,l21600,xe">
                      <v:stroke joinstyle="miter"/>
                      <v:path gradientshapeok="t" o:connecttype="rect"/>
                    </v:shapetype>
                    <v:shape id="Text Box 2" o:spid="_x0000_s1026" type="#_x0000_t202" style="position:absolute;left:0;text-align:left;margin-left:43.4pt;margin-top:35.7pt;width:81.95pt;height:27.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">
                      <v:textbox>
                        <w:txbxContent>
                          <w:p w:rsidR="002619EF" w:rsidRPr="00376E09" w:rsidRDefault="002619EF" w:rsidP="002619EF">
                            <w:pPr>
                              <w:jc w:val="center"/>
                              <w:rPr>
                                <w:rFonts w:ascii="Times New Roman" w:hAnsi="Times New Roman" w:cs="Times New Roman"/>
                              </w:rPr>
                            </w:pPr>
                            <w:r w:rsidRPr="00376E09">
                              <w:rPr>
                                <w:rFonts w:ascii="Times New Roman" w:hAnsi="Times New Roman" w:cs="Times New Roman"/>
                              </w:rPr>
                              <w:t>DỰ THẢO</w:t>
                            </w:r>
                          </w:p>
                        </w:txbxContent>
                      </v:textbox>
                      <w10:wrap type="square"/>
                    </v:shape>
                  </w:pict>
                </mc:Fallback>
              </mc:AlternateContent>
            </w:r>
            <w:r w:rsidRPr="005A130C">
              <w:rPr>
                <w:rFonts w:ascii="Times New Roman" w:hAnsi="Times New Roman" w:cs="Times New Roman"/>
                <w:color w:val="000000" w:themeColor="text1"/>
                <w:sz w:val="28"/>
                <w:szCs w:val="28"/>
              </w:rPr>
              <w:t>Số:         /BC-B</w:t>
            </w:r>
            <w:r>
              <w:rPr>
                <w:rFonts w:ascii="Times New Roman" w:hAnsi="Times New Roman" w:cs="Times New Roman"/>
                <w:color w:val="000000" w:themeColor="text1"/>
                <w:sz w:val="28"/>
                <w:szCs w:val="28"/>
              </w:rPr>
              <w:t>GDĐT</w:t>
            </w:r>
          </w:p>
        </w:tc>
        <w:tc>
          <w:tcPr>
            <w:tcW w:w="5103" w:type="dxa"/>
          </w:tcPr>
          <w:p w:rsidR="002619EF" w:rsidRPr="005A130C" w:rsidRDefault="002619EF" w:rsidP="00261ADA">
            <w:pPr>
              <w:widowControl w:val="0"/>
              <w:spacing w:before="120" w:after="0" w:line="240" w:lineRule="auto"/>
              <w:ind w:left="-168" w:right="-208"/>
              <w:jc w:val="center"/>
              <w:rPr>
                <w:rFonts w:ascii="Times New Roman" w:hAnsi="Times New Roman" w:cs="Times New Roman"/>
                <w:b/>
                <w:color w:val="000000" w:themeColor="text1"/>
              </w:rPr>
            </w:pPr>
            <w:r w:rsidRPr="005A130C">
              <w:rPr>
                <w:rFonts w:ascii="Times New Roman" w:hAnsi="Times New Roman" w:cs="Times New Roman"/>
                <w:b/>
                <w:color w:val="000000" w:themeColor="text1"/>
              </w:rPr>
              <w:t>CỘNG HÒA XÃ HỘI CHỦ NGHĨA VIỆT NAM</w:t>
            </w:r>
          </w:p>
          <w:p w:rsidR="002619EF" w:rsidRPr="005A130C" w:rsidRDefault="002619EF" w:rsidP="00261ADA">
            <w:pPr>
              <w:widowControl w:val="0"/>
              <w:spacing w:before="120" w:after="0" w:line="240" w:lineRule="auto"/>
              <w:jc w:val="center"/>
              <w:rPr>
                <w:rFonts w:ascii="Times New Roman" w:hAnsi="Times New Roman" w:cs="Times New Roman"/>
                <w:b/>
                <w:color w:val="000000" w:themeColor="text1"/>
                <w:sz w:val="26"/>
                <w:szCs w:val="26"/>
              </w:rPr>
            </w:pPr>
            <w:r w:rsidRPr="005A130C">
              <w:rPr>
                <w:rFonts w:ascii="Times New Roman" w:hAnsi="Times New Roman" w:cs="Times New Roman"/>
                <w:b/>
                <w:color w:val="000000" w:themeColor="text1"/>
                <w:sz w:val="26"/>
                <w:szCs w:val="26"/>
              </w:rPr>
              <w:t>Độc lập - Tự do - Hạnh phúc</w:t>
            </w:r>
          </w:p>
          <w:p w:rsidR="002619EF" w:rsidRPr="005A130C" w:rsidRDefault="002619EF" w:rsidP="00261ADA">
            <w:pPr>
              <w:widowControl w:val="0"/>
              <w:spacing w:before="120" w:after="0" w:line="240" w:lineRule="auto"/>
              <w:jc w:val="center"/>
              <w:rPr>
                <w:rFonts w:ascii="Times New Roman" w:hAnsi="Times New Roman" w:cs="Times New Roman"/>
                <w:i/>
                <w:color w:val="000000" w:themeColor="text1"/>
                <w:sz w:val="28"/>
                <w:szCs w:val="28"/>
              </w:rPr>
            </w:pPr>
            <w:r w:rsidRPr="005A130C">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5C133F73" wp14:editId="69760E1E">
                      <wp:simplePos x="0" y="0"/>
                      <wp:positionH relativeFrom="column">
                        <wp:posOffset>535305</wp:posOffset>
                      </wp:positionH>
                      <wp:positionV relativeFrom="paragraph">
                        <wp:posOffset>16510</wp:posOffset>
                      </wp:positionV>
                      <wp:extent cx="2009775" cy="0"/>
                      <wp:effectExtent l="9525" t="12065" r="9525"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F323"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3pt" to="20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w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"/>
                  </w:pict>
                </mc:Fallback>
              </mc:AlternateContent>
            </w:r>
            <w:r w:rsidRPr="005A130C">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hidden="0" allowOverlap="1" wp14:anchorId="710891F3" wp14:editId="70D41D8C">
                      <wp:simplePos x="0" y="0"/>
                      <wp:positionH relativeFrom="column">
                        <wp:posOffset>520700</wp:posOffset>
                      </wp:positionH>
                      <wp:positionV relativeFrom="paragraph">
                        <wp:posOffset>25400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FB51FF3" id="Straight Arrow Connector 11" o:spid="_x0000_s1026" type="#_x0000_t32" style="position:absolute;margin-left:41pt;margin-top: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"/>
                  </w:pict>
                </mc:Fallback>
              </mc:AlternateContent>
            </w:r>
          </w:p>
          <w:p w:rsidR="002619EF" w:rsidRPr="005A130C" w:rsidRDefault="002619EF" w:rsidP="00261ADA">
            <w:pPr>
              <w:widowControl w:val="0"/>
              <w:spacing w:before="120" w:after="0" w:line="240" w:lineRule="auto"/>
              <w:jc w:val="center"/>
              <w:rPr>
                <w:rFonts w:ascii="Times New Roman" w:hAnsi="Times New Roman" w:cs="Times New Roman"/>
                <w:color w:val="000000" w:themeColor="text1"/>
                <w:sz w:val="28"/>
                <w:szCs w:val="28"/>
              </w:rPr>
            </w:pPr>
            <w:r w:rsidRPr="005A130C">
              <w:rPr>
                <w:rFonts w:ascii="Times New Roman" w:hAnsi="Times New Roman" w:cs="Times New Roman"/>
                <w:i/>
                <w:color w:val="000000" w:themeColor="text1"/>
                <w:sz w:val="28"/>
                <w:szCs w:val="28"/>
              </w:rPr>
              <w:t>Hà Nội, ngày       tháng       năm 2025</w:t>
            </w:r>
          </w:p>
        </w:tc>
      </w:tr>
    </w:tbl>
    <w:p w:rsidR="00E46528" w:rsidRPr="00B1207C" w:rsidRDefault="00E46528" w:rsidP="00765FA5">
      <w:pPr>
        <w:spacing w:after="0" w:line="240" w:lineRule="auto"/>
        <w:jc w:val="center"/>
        <w:outlineLvl w:val="0"/>
        <w:rPr>
          <w:rFonts w:ascii="Times New Roman" w:eastAsia="Times New Roman" w:hAnsi="Times New Roman" w:cs="Times New Roman"/>
          <w:b/>
          <w:bCs/>
          <w:kern w:val="36"/>
          <w:sz w:val="28"/>
          <w:szCs w:val="28"/>
        </w:rPr>
      </w:pPr>
      <w:r w:rsidRPr="00B1207C">
        <w:rPr>
          <w:rFonts w:ascii="Times New Roman" w:eastAsia="Times New Roman" w:hAnsi="Times New Roman" w:cs="Times New Roman"/>
          <w:b/>
          <w:bCs/>
          <w:kern w:val="36"/>
          <w:sz w:val="28"/>
          <w:szCs w:val="28"/>
        </w:rPr>
        <w:t>BÁO CÁO</w:t>
      </w:r>
    </w:p>
    <w:p w:rsidR="00E46528" w:rsidRPr="00B1207C" w:rsidRDefault="00E46528" w:rsidP="00AE10D8">
      <w:pPr>
        <w:spacing w:before="80" w:after="0" w:line="240" w:lineRule="auto"/>
        <w:jc w:val="center"/>
        <w:rPr>
          <w:rFonts w:ascii="Times New Roman" w:eastAsia="Times New Roman" w:hAnsi="Times New Roman" w:cs="Times New Roman"/>
          <w:sz w:val="28"/>
          <w:szCs w:val="28"/>
        </w:rPr>
      </w:pPr>
      <w:r w:rsidRPr="00B1207C">
        <w:rPr>
          <w:rFonts w:ascii="Times New Roman" w:eastAsia="Times New Roman" w:hAnsi="Times New Roman" w:cs="Times New Roman"/>
          <w:b/>
          <w:bCs/>
          <w:sz w:val="28"/>
          <w:szCs w:val="28"/>
        </w:rPr>
        <w:t>Tổng kết tình hình thực hiện Nghị định số 109/2022/NĐ-CP ngày 30 tháng 12 năm 2022 của Chính phủ quy định về hoạt động khoa học và công nghệ trong cơ sở giáo dục đại học</w:t>
      </w:r>
      <w:r w:rsidRPr="00B1207C">
        <w:rPr>
          <w:rFonts w:ascii="Times New Roman" w:eastAsia="Times New Roman" w:hAnsi="Times New Roman" w:cs="Times New Roman"/>
          <w:sz w:val="28"/>
          <w:szCs w:val="28"/>
        </w:rPr>
        <w:br/>
      </w:r>
    </w:p>
    <w:p w:rsidR="00F74AAB" w:rsidRDefault="00F74AAB" w:rsidP="00516CA9">
      <w:pPr>
        <w:pStyle w:val="Heading2"/>
        <w:spacing w:before="80"/>
        <w:jc w:val="both"/>
        <w:rPr>
          <w:rFonts w:ascii="Times New Roman" w:eastAsia="Times New Roman" w:hAnsi="Times New Roman" w:cs="Times New Roman"/>
          <w:b/>
          <w:bCs/>
          <w:color w:val="auto"/>
          <w:sz w:val="28"/>
          <w:szCs w:val="28"/>
        </w:rPr>
      </w:pPr>
    </w:p>
    <w:p w:rsidR="00545D7B" w:rsidRPr="00AE10D8" w:rsidRDefault="00545D7B" w:rsidP="00516CA9">
      <w:pPr>
        <w:spacing w:before="80" w:after="0" w:line="240" w:lineRule="auto"/>
        <w:ind w:firstLine="720"/>
        <w:jc w:val="both"/>
        <w:rPr>
          <w:rFonts w:ascii="Times New Roman" w:eastAsia="Times New Roman" w:hAnsi="Times New Roman" w:cs="Times New Roman"/>
          <w:sz w:val="28"/>
          <w:szCs w:val="28"/>
        </w:rPr>
      </w:pPr>
      <w:r w:rsidRPr="00AE10D8">
        <w:rPr>
          <w:rFonts w:ascii="Times New Roman" w:eastAsia="Times New Roman" w:hAnsi="Times New Roman" w:cs="Times New Roman"/>
          <w:sz w:val="28"/>
          <w:szCs w:val="28"/>
        </w:rPr>
        <w:t>Nghị định số 109/2022/NĐ-CP</w:t>
      </w:r>
      <w:r w:rsidR="00E8648E" w:rsidRPr="00AE10D8">
        <w:rPr>
          <w:rFonts w:ascii="Times New Roman" w:eastAsia="Times New Roman" w:hAnsi="Times New Roman" w:cs="Times New Roman"/>
          <w:sz w:val="28"/>
          <w:szCs w:val="28"/>
        </w:rPr>
        <w:t xml:space="preserve"> ban hành ngày 30 tháng 12 năm 2022</w:t>
      </w:r>
      <w:r w:rsidRPr="00AE10D8">
        <w:rPr>
          <w:rFonts w:ascii="Times New Roman" w:eastAsia="Times New Roman" w:hAnsi="Times New Roman" w:cs="Times New Roman"/>
          <w:sz w:val="28"/>
          <w:szCs w:val="28"/>
        </w:rPr>
        <w:t xml:space="preserve"> là văn bản pháp lý mang tính đột phá, được kỳ vọng sẽ hoàn thiện </w:t>
      </w:r>
      <w:r w:rsidR="00E8648E" w:rsidRPr="00AE10D8">
        <w:rPr>
          <w:rFonts w:ascii="Times New Roman" w:eastAsia="Times New Roman" w:hAnsi="Times New Roman" w:cs="Times New Roman"/>
          <w:sz w:val="28"/>
          <w:szCs w:val="28"/>
        </w:rPr>
        <w:t xml:space="preserve">cơ sở </w:t>
      </w:r>
      <w:r w:rsidRPr="00AE10D8">
        <w:rPr>
          <w:rFonts w:ascii="Times New Roman" w:eastAsia="Times New Roman" w:hAnsi="Times New Roman" w:cs="Times New Roman"/>
          <w:sz w:val="28"/>
          <w:szCs w:val="28"/>
        </w:rPr>
        <w:t>pháp lý cho hoạt động khoa học và công nghệ (KH&amp;CN) trong các cơ sở giáo dục đại học (CSGDĐH) tại Việt Nam. Nghị định này không chỉ cung cấp cơ sở pháp lý mà còn định hướng chiến lược, thúc đẩy mạnh mẽ hoạt động nghiên cứu, đổi mới sáng tạo, và chuyển giao công nghệ</w:t>
      </w:r>
      <w:r w:rsidR="005D5EFB" w:rsidRPr="00AE10D8">
        <w:rPr>
          <w:rFonts w:ascii="Times New Roman" w:eastAsia="Times New Roman" w:hAnsi="Times New Roman" w:cs="Times New Roman"/>
          <w:sz w:val="28"/>
          <w:szCs w:val="28"/>
          <w:lang w:val="vi-VN"/>
        </w:rPr>
        <w:t xml:space="preserve"> với mục tiêu chính </w:t>
      </w:r>
      <w:r w:rsidRPr="00AE10D8">
        <w:rPr>
          <w:rFonts w:ascii="Times New Roman" w:eastAsia="Times New Roman" w:hAnsi="Times New Roman" w:cs="Times New Roman"/>
          <w:sz w:val="28"/>
          <w:szCs w:val="28"/>
        </w:rPr>
        <w:t xml:space="preserve">là nâng cao chất lượng đào tạo, tăng cường năng lực nghiên cứu của các trường đại học, và đóng góp thiết thực vào sự phát triển kinh tế - xã hội bền vững của đất nước trong bối cảnh hội nhập quốc tế sâu rộng và cuộc cách mạng công nghiệp 4.0 đang diễn ra mạnh mẽ.   </w:t>
      </w:r>
    </w:p>
    <w:p w:rsidR="00545D7B" w:rsidRPr="00E8648E" w:rsidRDefault="00545D7B" w:rsidP="00516CA9">
      <w:pPr>
        <w:spacing w:before="80" w:after="0" w:line="240" w:lineRule="auto"/>
        <w:ind w:firstLine="720"/>
        <w:jc w:val="both"/>
        <w:rPr>
          <w:rFonts w:ascii="Times New Roman" w:eastAsia="Times New Roman" w:hAnsi="Times New Roman" w:cs="Times New Roman"/>
          <w:i/>
          <w:sz w:val="28"/>
          <w:szCs w:val="28"/>
        </w:rPr>
      </w:pPr>
      <w:r w:rsidRPr="00AE10D8">
        <w:rPr>
          <w:rFonts w:ascii="Times New Roman" w:eastAsia="Times New Roman" w:hAnsi="Times New Roman" w:cs="Times New Roman"/>
          <w:sz w:val="28"/>
          <w:szCs w:val="28"/>
        </w:rPr>
        <w:t>Báo cáo này được xây dựng nhằm mục đích tổng kết và đánh giá toàn diện tình hình triển khai Nghị định 109/2022/NĐ-CP sau hơn hai năm thực hiện. Nội dung báo cáo sẽ tập trung vào việc phân tích những kết quả đã đạt được, nhận diện các thuận lợi, chỉ ra những khó khăn, hạn chế còn tồn tại cùng với các nguyên nhân sâu xa. Trên cơ sở đó, báo cáo sẽ đề xuất các giải pháp cụ thể, khả thi nhằm tháo gỡ vướng mắc, tiếp tục hoàn thiện cơ chế chính sách, và thúc đẩy hiệu quả hơn nữa hoạt động KH&amp;CN trong CSGDĐH trong thời gian tới, đảm bảo các trường đại</w:t>
      </w:r>
      <w:r w:rsidRPr="00E8648E">
        <w:rPr>
          <w:rFonts w:ascii="Times New Roman" w:eastAsia="Times New Roman" w:hAnsi="Times New Roman" w:cs="Times New Roman"/>
          <w:i/>
          <w:sz w:val="28"/>
          <w:szCs w:val="28"/>
        </w:rPr>
        <w:t xml:space="preserve"> học có thể phát huy tối đa vai trò là trung tâm tri thức và đổi mới sáng tạo quốc gia.</w:t>
      </w:r>
    </w:p>
    <w:p w:rsidR="00545D7B" w:rsidRPr="00F74AAB" w:rsidRDefault="00545D7B" w:rsidP="00516CA9">
      <w:pPr>
        <w:spacing w:before="80" w:after="0" w:line="240" w:lineRule="auto"/>
        <w:ind w:firstLine="720"/>
        <w:jc w:val="both"/>
        <w:outlineLvl w:val="1"/>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I. TÌNH HÌNH TRIỂN KHAI NGHỊ ĐỊNH SỐ 109/2022/NĐ-CP TRONG CƠ SỞ GIÁO DỤC ĐẠI HỌC</w:t>
      </w:r>
    </w:p>
    <w:p w:rsidR="00545D7B" w:rsidRPr="00F74AAB" w:rsidRDefault="00545D7B" w:rsidP="00516CA9">
      <w:pPr>
        <w:spacing w:before="80" w:after="0" w:line="240" w:lineRule="auto"/>
        <w:ind w:firstLine="720"/>
        <w:jc w:val="both"/>
        <w:outlineLvl w:val="2"/>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1.1. Công tác quán triệt và ban hành văn bản nội bộ tại các cơ sở giáo dục đại học (CSGDĐH)</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Sau khi Nghị định số 109/2022/NĐ-CP được ban hành, các CSGDĐH trên toàn quốc đã thể hiện sự chủ động và trách nhiệm cao trong việc phổ biến, quán triệt sâu rộng nội dung của Nghị định đến toàn thể cán bộ, giảng viên và sinh viên. Đây </w:t>
      </w:r>
      <w:r w:rsidRPr="00F74AAB">
        <w:rPr>
          <w:rFonts w:ascii="Times New Roman" w:eastAsia="Times New Roman" w:hAnsi="Times New Roman" w:cs="Times New Roman"/>
          <w:sz w:val="28"/>
          <w:szCs w:val="28"/>
        </w:rPr>
        <w:lastRenderedPageBreak/>
        <w:t xml:space="preserve">là bước đi nền tảng, tạo tiền đề quan trọng để nâng cao nhận thức và thống nhất hành động trong toàn hệ thống.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Cụ thể, hầu hết các trường đại học đã ban hành các văn bản nội bộ chỉ đạo thực hiện Nghị định, đồng thời tổ chức phổ biến thông qua nhiều kênh đa dạng như họp giao ban, hội nghị chuyên đề, tập huấn chuyên sâu, sử dụng website, email, và hệ thống quản trị nội bộ. Các buổi tập huấn này đặc biệt quan trọng trong việc nâng cao nhận thức và năng lực cho đội ngũ cán bộ, giảng viên về các quy định mới, đảm bảo rằng mọi cá nhân liên quan đều nắm vững tinh thần và các nội dung cốt lõi của Nghị định.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Một điểm đáng ghi nhận là nội dung thực hiện Nghị định 109/2022/NĐ-CP đã được nhiều CSGDĐH lồng ghép một cách chiến lược vào kế hoạch phát triển dài hạn, đặc biệt là Chiến lược KH&amp;CN giai đoạn 2020-2025/2030. Điều này không chỉ thể hiện sự tuân thủ quy định mà còn cho thấy sự xác định rõ ràng vai trò trung tâm của KH&amp;CN trong việc đảm bảo chất lượng đào tạo, nâng cao năng lực nghiên cứu, và thúc đẩy phát triển bền vững của nhà trường. Việc này phản ánh một sự chuyển dịch trong tư duy lãnh đạo các trường đại học, từ việc xem KH&amp;CN là hoạt động bổ trợ sang coi đó là trụ cột chiến lược cho sự phát triển toàn diện.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Để hỗ trợ triển khai hiệu quả Nghị định, nhiều trường đã tiến hành thành lập mới hoặc kiện toàn các đơn vị phụ trách KH&amp;CN và đổi mới sáng tạo (ĐMST). Mục tiêu của việc này là tạo ra một cơ cấu tổ chức tinh gọn, chuyên nghiệp, đủ năng lực để tham mưu, quản lý và triển khai các hoạt động KH&amp;CN theo đúng định hướng của Nghị định. Sự thay đổi này góp phần nâng cao hiệu quả quản lý, giảm thiểu các thủ tục hành chính không cần thiết, và tạo điều kiện thuận lợi hơn cho hoạt động nghiên cứu.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Song song với công tác tổ chức, phần lớn các trường đã chủ động rà soát, sửa đổi, bổ sung hoặc ban hành mới các quy chế, quy định nội bộ liên quan đến hoạt động KH&amp;CN để cụ thể hóa các quy định của Nghị định 109/2022/NĐ-CP và phù hợp với đặc thù của từng CSGDĐH. Các quy định này bao gồm: chuẩn hóa quy trình đề xuất, xét duyệt, nghiệm thu nhiệm vụ KH&amp;CN; ban hành quy định về quy đổi giờ nghiên cứu khoa học sang giờ giảng dạy; quy định về điều kiện thành lập, cơ chế hoạt động, và chính sách hỗ trợ cho nhóm nghiên cứu (NNC) và nhóm nghiên cứu mạnh (NCM); xây dựng quy chế về sở hữu trí tuệ (SHTT), khai thác, thương mại hóa kết quả nghiên cứu và cơ chế chia sẻ lợi ích; điều chỉnh quy định về chi tiêu nội bộ, quản lý quỹ phát triển KH&amp;CN; và bổ sung quy định hỗ trợ, khuyến khích hoạt động khởi nghiệp trong sinh viên và giảng viên. Việc ban hành và phổ biến các quy định nội bộ này đã tạo nền tảng vững chắc cho việc quản lý và phát triển hoạt động KH&amp;CN theo tinh thần của Nghị định.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Tuy nhiên, việc các trường đại học phải tự xây dựng nhiều quy định nội bộ trong khi thiếu các văn bản hướng dẫn chi tiết từ cấp trung ương đã tạo ra một khoảng </w:t>
      </w:r>
      <w:r w:rsidRPr="00F74AAB">
        <w:rPr>
          <w:rFonts w:ascii="Times New Roman" w:eastAsia="Times New Roman" w:hAnsi="Times New Roman" w:cs="Times New Roman"/>
          <w:sz w:val="28"/>
          <w:szCs w:val="28"/>
        </w:rPr>
        <w:lastRenderedPageBreak/>
        <w:t xml:space="preserve">trống. Mặc dù sự chủ động này thể hiện tinh thần trách nhiệm cao của các CSGDĐH trong việc triển khai Nghị định, </w:t>
      </w:r>
      <w:r w:rsidR="005D5EFB">
        <w:rPr>
          <w:rFonts w:ascii="Times New Roman" w:eastAsia="Times New Roman" w:hAnsi="Times New Roman" w:cs="Times New Roman"/>
          <w:sz w:val="28"/>
          <w:szCs w:val="28"/>
          <w:lang w:val="vi-VN"/>
        </w:rPr>
        <w:t>tuy nhiên</w:t>
      </w:r>
      <w:r w:rsidRPr="00F74AAB">
        <w:rPr>
          <w:rFonts w:ascii="Times New Roman" w:eastAsia="Times New Roman" w:hAnsi="Times New Roman" w:cs="Times New Roman"/>
          <w:sz w:val="28"/>
          <w:szCs w:val="28"/>
        </w:rPr>
        <w:t xml:space="preserve"> cũng tiềm ẩn nguy cơ về sự thiếu đồng bộ, không nhất quán trong hệ thống. Các trường đang phải tự mình tìm tòi và thích nghi, dẫn đến những bất cập, không chắc chắn về mặt pháp lý và hiệu quả thực thi tối ưu. </w:t>
      </w:r>
      <w:r w:rsidR="005D5EFB">
        <w:rPr>
          <w:rFonts w:ascii="Times New Roman" w:eastAsia="Times New Roman" w:hAnsi="Times New Roman" w:cs="Times New Roman"/>
          <w:sz w:val="28"/>
          <w:szCs w:val="28"/>
          <w:lang w:val="vi-VN"/>
        </w:rPr>
        <w:t xml:space="preserve">Do vậy, cần </w:t>
      </w:r>
      <w:r w:rsidRPr="00F74AAB">
        <w:rPr>
          <w:rFonts w:ascii="Times New Roman" w:eastAsia="Times New Roman" w:hAnsi="Times New Roman" w:cs="Times New Roman"/>
          <w:sz w:val="28"/>
          <w:szCs w:val="28"/>
        </w:rPr>
        <w:t>sớm ban hành các hướng dẫn chi tiết, đồng bộ từ các Bộ, ngành liên quan để đảm bảo tính thống nhất và hiệu quả chung cho toàn hệ thống.</w:t>
      </w:r>
    </w:p>
    <w:p w:rsidR="00545D7B" w:rsidRPr="00F74AAB" w:rsidRDefault="00545D7B" w:rsidP="00516CA9">
      <w:pPr>
        <w:spacing w:before="80" w:after="0" w:line="240" w:lineRule="auto"/>
        <w:ind w:firstLine="720"/>
        <w:jc w:val="both"/>
        <w:outlineLvl w:val="2"/>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 xml:space="preserve">1.2. Kết quả nổi bật trong hoạt động </w:t>
      </w:r>
      <w:r w:rsidR="00FC737A">
        <w:rPr>
          <w:rFonts w:ascii="Times New Roman" w:eastAsia="Times New Roman" w:hAnsi="Times New Roman" w:cs="Times New Roman"/>
          <w:b/>
          <w:bCs/>
          <w:sz w:val="28"/>
          <w:szCs w:val="28"/>
          <w:lang w:val="vi-VN"/>
        </w:rPr>
        <w:t>k</w:t>
      </w:r>
      <w:r w:rsidRPr="00F74AAB">
        <w:rPr>
          <w:rFonts w:ascii="Times New Roman" w:eastAsia="Times New Roman" w:hAnsi="Times New Roman" w:cs="Times New Roman"/>
          <w:b/>
          <w:bCs/>
          <w:sz w:val="28"/>
          <w:szCs w:val="28"/>
        </w:rPr>
        <w:t xml:space="preserve">hoa học và </w:t>
      </w:r>
      <w:r w:rsidR="00FC737A">
        <w:rPr>
          <w:rFonts w:ascii="Times New Roman" w:eastAsia="Times New Roman" w:hAnsi="Times New Roman" w:cs="Times New Roman"/>
          <w:b/>
          <w:bCs/>
          <w:sz w:val="28"/>
          <w:szCs w:val="28"/>
          <w:lang w:val="vi-VN"/>
        </w:rPr>
        <w:t>c</w:t>
      </w:r>
      <w:r w:rsidRPr="00F74AAB">
        <w:rPr>
          <w:rFonts w:ascii="Times New Roman" w:eastAsia="Times New Roman" w:hAnsi="Times New Roman" w:cs="Times New Roman"/>
          <w:b/>
          <w:bCs/>
          <w:sz w:val="28"/>
          <w:szCs w:val="28"/>
        </w:rPr>
        <w:t>ông nghệ (KH&amp;CN) sau hơn hai năm triển khai</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Sau hơn hai năm thực hiện, Nghị định 109/2022/NĐ-CP đã tạo ra những chuyển biến tích cực đáng kể trong hoạt động KH&amp;CN tại các CSGDĐH. Những kết quả này thể hiện sự nỗ lực của các trường trong việc cụ thể hóa các quy định của Nghị định vào thực tiễn.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1.2.1. Hoạt động nghiên cứu khoa học và công bố quốc tế</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Hoạt động nghiên cứu khoa học (NCKH) và công bố của các CSGDĐH đã ghi nhận những bước tiến mạnh mẽ, thể hiện sự gia tăng cả về số lượng và chất lượng các công trình nghiên cứu.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Một trong những chỉ số ấn tượng là tỷ lệ giảng viên tham gia NCKH hàng năm ở nhiều trường đạt trên 90%. Điều này cho thấy sự lan tỏa rộng rãi của tinh thần nghiên cứu và sự chủ động của giảng viên trong việc thực hiện nhiệm vụ khoa học, đóng góp vào sự phát triển chung của nhà trường và xã hội. Sự tham gia rộng khắp này tạo ra một nền tảng vững chắc, nhưng đồng thời cũng đặt ra câu hỏi về việc làm thế nào để chuyển đổi số lượng tham gia thành chất lượng và tác động nghiên cứu cao hơn.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Về số lượng đề tài nghiên cứu, các CSGDĐH đã triển khai hàng nghìn đề tài khoa học cấp cơ sở mỗi năm, tạo ra một nền tảng vững chắc cho hoạt động nghiên cứu nội bộ và là vườn ươm cho các ý tưởng mới. Bên cạnh đó, hàng trăm đề tài cấp Bộ và một số đề tài cấp Nhà nước cũng đã được thực hiện, khẳng định năng lực và uy tín nghiên cứu của các trường ở cấp độ cao hơn. Đặc biệt, hoạt động NCKH của sinh viên cũng được đẩy mạnh, thể hiện qua hàng trăm đến hàng nghìn đề tài sinh viên được triển khai hàng năm, góp phần rèn luyện kỹ năng nghiên cứu và phát hiện các tài năng trẻ. Sự phát triển từ nghiên cứu cấp cơ sở đến cấp Bộ, cấp Nhà nước, và sự tham gia của sinh viên cho thấy một hệ sinh thái nghiên cứu đang được hình thành và phát triển từ gốc rễ, tạo ra một chu trình nuôi dưỡng và phát triển năng lực nghiên cứu bền vững.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Điểm sáng nổi bật nhất là sự gia tăng mạnh mẽ số lượng công bố quốc tế (ISI/Scopus). Nhiều trường ghi nhận số lượng bài báo ISI/Scopus mỗi năm đạt từ vài trăm đến hơn 600 bài, tăng mạnh so với giai đoạn trước. Điều này phản ánh sự nâng cao rõ rệt về chất lượng và mức độ hội nhập quốc tế trong hoạt động NCKH </w:t>
      </w:r>
      <w:r w:rsidRPr="00F74AAB">
        <w:rPr>
          <w:rFonts w:ascii="Times New Roman" w:eastAsia="Times New Roman" w:hAnsi="Times New Roman" w:cs="Times New Roman"/>
          <w:sz w:val="28"/>
          <w:szCs w:val="28"/>
        </w:rPr>
        <w:lastRenderedPageBreak/>
        <w:t xml:space="preserve">của các CSGDĐH. Mặc dù số lượng công bố quốc tế tăng mạnh là một dấu hiệu tích cực về chất lượng nghiên cứu và hội nhập, việc duy trì và nâng cao hơn nữa chỉ số này đòi hỏi sự đầu tư liên tục vào năng lực nghiên cứu chuyên sâu và môi trường học thuật quốc tế.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1.2.2. Phát triển nhóm nghiên cứu và nhóm nghiên cứu mạnh</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Việc hình thành và phát triển các nhóm nghiên cứu (NNC) và nhóm nghiên cứu mạnh (NCM) là một trong những trọng tâm của Nghị định 109/2022/NĐ-CP nhằm nâng cao năng lực nghiên cứu chuyên sâu và hội nhập quốc tế của các CSGDĐH. Trong hai năm qua, các trường đã tích cực triển khai hoạt động này, tuy nhiên vẫn còn những thách thức đáng kể, đặc biệt là trong việc đạt được các tiêu chuẩn của NCM theo quy định của Nghị định.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Hầu hết các trường đã chủ động ban hành quy định về tổ chức và hoạt động của NNC/NCM, đồng thời tổ chức xét chọn định kỳ (ví dụ: 2 đợt/năm). Nhiều trường đã thành lập các nhóm nghiên cứu theo lĩnh vực thế mạnh của mình. Một số trường đã áp dụng mô hình phân cấp nhóm nghiên cứu thành các cấp độ như "nhóm tiềm năng", "tiệm cận mạnh", và "nhóm mạnh". Điển hình là Đại học Y Dược TP.HCM, thể hiện sự linh hoạt và lộ trình rõ ràng trong việc phát triển các nhóm nghiên cứu từ giai đoạn ban đầu đến khi đạt chuẩn NCM. Đại học Mở Hà Nội có 5 nhóm nghiên cứu trọng điểm và tiềm năng trong các lĩnh vực như công nghệ sinh học y dược, kinh tế hướng tới bền vững, giáo dục mở, ngôn ngữ và hợp chất tự nhiên. Học viện </w:t>
      </w:r>
      <w:proofErr w:type="gramStart"/>
      <w:r w:rsidRPr="00F74AAB">
        <w:rPr>
          <w:rFonts w:ascii="Times New Roman" w:eastAsia="Times New Roman" w:hAnsi="Times New Roman" w:cs="Times New Roman"/>
          <w:sz w:val="28"/>
          <w:szCs w:val="28"/>
        </w:rPr>
        <w:t>An</w:t>
      </w:r>
      <w:proofErr w:type="gramEnd"/>
      <w:r w:rsidRPr="00F74AAB">
        <w:rPr>
          <w:rFonts w:ascii="Times New Roman" w:eastAsia="Times New Roman" w:hAnsi="Times New Roman" w:cs="Times New Roman"/>
          <w:sz w:val="28"/>
          <w:szCs w:val="28"/>
        </w:rPr>
        <w:t xml:space="preserve"> ninh nhân dân cũng đã hình thành các nhóm nghiên cứu trong các khoa, nhóm chủ nhiệm đề tài cấp bộ, nhóm biên soạn tài liệu giảng dạy và nhóm nghiên cứu tổng kết lý luận và thực tiễn, với định hướng tiến tới NCM có quy chế và cơ chế riêng.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Tuy nhiên, hoạt động này vẫn đối mặt với nhiều khó khăn và hạn chế:</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Tiêu chí nhóm nghiên cứu mạnh còn cao và chưa phù hợp đặc thù ngành:</w:t>
      </w:r>
      <w:r w:rsidR="00545D7B" w:rsidRPr="00C17E24">
        <w:rPr>
          <w:rFonts w:ascii="Times New Roman" w:eastAsia="Times New Roman" w:hAnsi="Times New Roman" w:cs="Times New Roman"/>
          <w:sz w:val="28"/>
          <w:szCs w:val="28"/>
        </w:rPr>
        <w:t xml:space="preserve"> Đây</w:t>
      </w:r>
      <w:r w:rsidR="00545D7B" w:rsidRPr="00F74AAB">
        <w:rPr>
          <w:rFonts w:ascii="Times New Roman" w:eastAsia="Times New Roman" w:hAnsi="Times New Roman" w:cs="Times New Roman"/>
          <w:sz w:val="28"/>
          <w:szCs w:val="28"/>
        </w:rPr>
        <w:t xml:space="preserve"> là khó khăn lớn nhất được nhiều trường phản ánh. Yêu cầu về bằng độc quyền sáng chế hoặc sản phẩm thương mại hóa là thách thức đối với các ngành khoa học xã hội và nhân văn, y học (phương pháp chẩn đoán, điều trị không được bảo hộ dưới dạng sáng chế theo Luật SHTT). Chuẩn H-index (từ 10 trở lên với trưởng nhóm, từ 5 trở lên với thành viên chủ chốt) cũng được cho là cao so với mặt bằng chung và khó đạt được ở nhiều lĩnh vực. Sự không phù hợp này tạo ra một khoảng cách giữa kỳ vọng của Nghị định và thực tiễn đa dạng của các ngành khoa học, có thể làm giảm động lực và khả năng hình thành NCM ở những lĩnh vực không thiên về sáng chế hoặc công bố quốc tế cao.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w:t>
      </w:r>
      <w:r w:rsidR="005D5EFB">
        <w:rPr>
          <w:rFonts w:ascii="Times New Roman" w:eastAsia="Times New Roman" w:hAnsi="Times New Roman" w:cs="Times New Roman"/>
          <w:b/>
          <w:bCs/>
          <w:sz w:val="28"/>
          <w:szCs w:val="28"/>
          <w:lang w:val="vi-VN"/>
        </w:rPr>
        <w:t xml:space="preserve"> </w:t>
      </w:r>
      <w:r w:rsidR="00545D7B" w:rsidRPr="00C17E24">
        <w:rPr>
          <w:rFonts w:ascii="Times New Roman" w:eastAsia="Times New Roman" w:hAnsi="Times New Roman" w:cs="Times New Roman"/>
          <w:bCs/>
          <w:sz w:val="28"/>
          <w:szCs w:val="28"/>
        </w:rPr>
        <w:t>Thiếu nguồn nhân lực chất lượng cao:</w:t>
      </w:r>
      <w:r w:rsidR="00545D7B" w:rsidRPr="00C17E24">
        <w:rPr>
          <w:rFonts w:ascii="Times New Roman" w:eastAsia="Times New Roman" w:hAnsi="Times New Roman" w:cs="Times New Roman"/>
          <w:sz w:val="28"/>
          <w:szCs w:val="28"/>
        </w:rPr>
        <w:t xml:space="preserve"> Các trường gặp khó khăn trong việc tìm kiếm và giữ chân giảng viên có học hàm/học vị cao, đặc biệt là những người có nhiều công bố quốc tế, để hình thành các NCM. Tải giảng dạy lớn cũng khiến giảng viên thiếu thời gian dành cho nghiên cứu chuyên sâu. Việc thiếu hụt nhân lực chất </w:t>
      </w:r>
      <w:r w:rsidR="00545D7B" w:rsidRPr="00C17E24">
        <w:rPr>
          <w:rFonts w:ascii="Times New Roman" w:eastAsia="Times New Roman" w:hAnsi="Times New Roman" w:cs="Times New Roman"/>
          <w:sz w:val="28"/>
          <w:szCs w:val="28"/>
        </w:rPr>
        <w:lastRenderedPageBreak/>
        <w:t xml:space="preserve">lượng cao là một rào cản lớn, bởi lẽ các nhà khoa học giỏi thường là hạt nhân để xây dựng và phát triển các nhóm nghiên cứu mạnh.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5D5EFB">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cơ chế tài chính ổn định và chính sách hỗ trợ:</w:t>
      </w:r>
      <w:r w:rsidR="00545D7B" w:rsidRPr="00C17E24">
        <w:rPr>
          <w:rFonts w:ascii="Times New Roman" w:eastAsia="Times New Roman" w:hAnsi="Times New Roman" w:cs="Times New Roman"/>
          <w:sz w:val="28"/>
          <w:szCs w:val="28"/>
        </w:rPr>
        <w:t xml:space="preserve"> Hiện chưa có cơ chế tài chính ổn định và dài hạn, cũng như hướng dẫn cụ thể về chính sách ưu đãi cho NCM. Đồng thời, cũng chưa có chính sách hỗ trợ rõ ràng cho các nhóm nghiên cứu mới hình thành hoặc nhóm tiềm năng, khiến họ khó phát triển lên cấp độ cao hơn. Sự thiếu hụt này tạo ra một vòng luẩn quẩn: không có tài chính ổn định sẽ khó thu hút nhân lực giỏi, và không có nhân lực giỏi thì khó hình thành được NCM theo tiêu chuẩn.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Giới hạn về tài chính và năng lực:</w:t>
      </w:r>
      <w:r w:rsidR="00545D7B" w:rsidRPr="00C17E24">
        <w:rPr>
          <w:rFonts w:ascii="Times New Roman" w:eastAsia="Times New Roman" w:hAnsi="Times New Roman" w:cs="Times New Roman"/>
          <w:sz w:val="28"/>
          <w:szCs w:val="28"/>
        </w:rPr>
        <w:t xml:space="preserve"> Một số nơi mới chỉ dừng lại ở nhóm nghiên cứu cơ bản, chưa đủ điều kiện hình thành NCM theo tiêu chuẩn Nghị định.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Kiến nghị từ các CSGDĐH nhằm tháo gỡ vướng mắc:</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Điều chỉnh tiêu chí đánh giá và công nhận NCM:</w:t>
      </w:r>
      <w:r w:rsidR="00545D7B" w:rsidRPr="00C17E24">
        <w:rPr>
          <w:rFonts w:ascii="Times New Roman" w:eastAsia="Times New Roman" w:hAnsi="Times New Roman" w:cs="Times New Roman"/>
          <w:sz w:val="28"/>
          <w:szCs w:val="28"/>
        </w:rPr>
        <w:t xml:space="preserve"> Các trường đề xuất giảm chuẩn H-index, bổ sung tiêu chí linh hoạt theo đặc thù ngành (tự nhiên – xã hội – kỹ thuật – y tế...). Cần cho phép quy đổi sản phẩm đầu ra linh hoạt hơn (ví dụ: bằng sáng chế có thể quy đổi tương đương nhiều bài báo ISI Q1).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Bổ sung các cấp độ nhóm nghiên cứu:</w:t>
      </w:r>
      <w:r w:rsidR="00545D7B" w:rsidRPr="00C17E24">
        <w:rPr>
          <w:rFonts w:ascii="Times New Roman" w:eastAsia="Times New Roman" w:hAnsi="Times New Roman" w:cs="Times New Roman"/>
          <w:sz w:val="28"/>
          <w:szCs w:val="28"/>
        </w:rPr>
        <w:t xml:space="preserve"> Nhiều trường kiến nghị cho phép công nhận và hỗ trợ các "nhóm tiềm năng" và "nhóm tiệm cận mạnh" để có lộ trình phát triển rõ ràng hơn.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Hỗ trợ tài chính và chính sách ưu đãi:</w:t>
      </w:r>
      <w:r w:rsidR="00545D7B" w:rsidRPr="00C17E24">
        <w:rPr>
          <w:rFonts w:ascii="Times New Roman" w:eastAsia="Times New Roman" w:hAnsi="Times New Roman" w:cs="Times New Roman"/>
          <w:sz w:val="28"/>
          <w:szCs w:val="28"/>
        </w:rPr>
        <w:t xml:space="preserve"> Đề xuất có chính sách đầu tư cụ thể cho NCM (tài chính, thiết bị, tự chủ trong hợp tác và tuyển dụng) và hỗ trợ đào tạo nâng cao trình độ cho giảng viên.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Ưu tiên nhóm có kết quả thực tiễn/thương mại hóa:</w:t>
      </w:r>
      <w:r w:rsidR="00545D7B" w:rsidRPr="00C17E24">
        <w:rPr>
          <w:rFonts w:ascii="Times New Roman" w:eastAsia="Times New Roman" w:hAnsi="Times New Roman" w:cs="Times New Roman"/>
          <w:sz w:val="28"/>
          <w:szCs w:val="28"/>
        </w:rPr>
        <w:t xml:space="preserve"> Đặc biệt với trường tư thục và định hướng ứng dụng, cần ưu tiên các nhóm có kết quả thực tiễn hoặc tiềm năng thương mại hóa, thay vì chỉ tập trung vào công bố quốc tế và sáng chế như hiện hành.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Miễn bồi hoàn:</w:t>
      </w:r>
      <w:r w:rsidR="00545D7B" w:rsidRPr="00C17E24">
        <w:rPr>
          <w:rFonts w:ascii="Times New Roman" w:eastAsia="Times New Roman" w:hAnsi="Times New Roman" w:cs="Times New Roman"/>
          <w:sz w:val="28"/>
          <w:szCs w:val="28"/>
        </w:rPr>
        <w:t xml:space="preserve"> Đề xuất miễn bồi hoàn đối với các nhóm đã thực hiện đầy đủ quy trình nhưng chưa đạt được</w:t>
      </w:r>
      <w:r w:rsidR="00545D7B" w:rsidRPr="00F74AAB">
        <w:rPr>
          <w:rFonts w:ascii="Times New Roman" w:eastAsia="Times New Roman" w:hAnsi="Times New Roman" w:cs="Times New Roman"/>
          <w:sz w:val="28"/>
          <w:szCs w:val="28"/>
        </w:rPr>
        <w:t xml:space="preserve"> sản phẩm đầu ra theo yêu cầu.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Tổng quan, hoạt động hình thành NNC và NCM đang được các CSGDĐH đẩy mạnh, tạo tiền đề quan trọng cho việc nâng cao chất lượng nghiên cứu. Tuy nhiên, để NCM thực sự phát huy vai trò chủ đạo và đáp ứng kỳ vọng của Nghị định, cần có sự điều chỉnh linh hoạt hơn về tiêu chí, đi kèm với các chính sách hỗ trợ tài chính và nhân lực phù hợp với đặc thù từng ngành và từng loại hình trường.</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1.2.3. Hoạt động sở hữu trí tuệ và chuyển giao công nghệ</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Hoạt động sở hữu trí tuệ (SHTT) và chuyển giao công nghệ (CGCN) đóng vai trò then chốt trong việc biến kết quả nghiên cứu khoa học thành giá trị kinh tế và xã hội. Trong hai năm triển khai Nghị định 109/2022/NĐ-CP, các CSGDĐH đã có </w:t>
      </w:r>
      <w:r w:rsidRPr="00F74AAB">
        <w:rPr>
          <w:rFonts w:ascii="Times New Roman" w:eastAsia="Times New Roman" w:hAnsi="Times New Roman" w:cs="Times New Roman"/>
          <w:sz w:val="28"/>
          <w:szCs w:val="28"/>
        </w:rPr>
        <w:lastRenderedPageBreak/>
        <w:t xml:space="preserve">nhiều nỗ lực đáng ghi nhận trong việc thúc đẩy lĩnh vực này, thể hiện qua sự gia tăng về số lượng tài sản trí tuệ được bảo hộ và các dự án chuyển giao công nghệ.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Các trường đã chủ động xây dựng và ban hành các chính sách khuyến khích, hỗ trợ giảng viên và nhà nghiên cứu trong việc đăng ký bảo hộ SHTT. Điều này bao gồm việc xây dựng quy chế SHTT nội bộ, tổ chức các buổi tập huấn chuyên sâu về quyền SHTT, quy trình đăng ký bằng sáng chế, giải pháp hữu ích, nhãn hiệu, và cung cấp hỗ trợ về mặt pháp lý, thủ tục. Nhờ những nỗ lực này, số lượng đơn đăng ký sáng chế, giải pháp hữu ích và nhãn hiệu đã tăng đều hàng năm ở nhiều trường, cho thấy tiềm năng lớn về đổi mới sáng tạo trong nội bộ.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Về hoạt động chuyển giao công nghệ và ứng dụng thực tiễn, các hoạt động này bước đầu đã hình thành và mang lại những kết quả tích cực, thể hiện sự kết nối giữa nghiên cứu hàn lâm và nhu cầu thực tiễn của xã hội, doanh nghiệp. Một số kết quả nghiên cứu đã được chuyển giao và ứng dụng vào thực tiễn địa phương và doanh nghiệp trong các lĩnh vực đa dạng như thực phẩm, môi trường, y tế, năng lượng tái tạo. Một số trường đã ký kết hợp đồng chuyển giao hoặc tư vấn với doanh nghiệp, và một số doanh nghiệp đã tài trợ phòng thí nghiệm, thiết bị nghiên cứu, tạo điều kiện thuận lợi cho hoạt động nghiên cứu ứng dụng, triển khai sản phẩm KH&amp;CN đến doanh nghiệp theo hình thức đặt hàng.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Tuy nhiên, lĩnh vực này vẫn đối mặt với nhiều rào cản pháp lý, tài chính và cơ chế, đòi hỏi sự tháo gỡ đồng bộ từ cấp quản lý nhà nước:</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Thương mại hóa kết quả nghiên cứu gặp vướng mắc liên quan đến tài sản công:</w:t>
      </w:r>
      <w:r w:rsidR="00545D7B" w:rsidRPr="00C17E24">
        <w:rPr>
          <w:rFonts w:ascii="Times New Roman" w:eastAsia="Times New Roman" w:hAnsi="Times New Roman" w:cs="Times New Roman"/>
          <w:sz w:val="28"/>
          <w:szCs w:val="28"/>
        </w:rPr>
        <w:t xml:space="preserve"> Luật Tài sản công và các văn bản pháp lý hiện hành còn nhiều bất cập, gây khó khăn trong việc định giá tài sản SHTT hình thành từ ngân sách nhà nước, cũng như quy trình khai thác và chuyển giao cho doanh nghiệp. Điều này dẫn đến tình trạng nhiều kết quả nghiên cứu có tiềm năng nhưng không thể thương mại hóa hiệu quả. Sự không rõ ràng về quy định tài sản công đã tạo ra một nút thắt pháp lý, cản trở việc biến tri thức thành giá trị kinh tế.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cơ chế phân chia lợi ích rõ ràng:</w:t>
      </w:r>
      <w:r w:rsidR="00545D7B" w:rsidRPr="00C17E24">
        <w:rPr>
          <w:rFonts w:ascii="Times New Roman" w:eastAsia="Times New Roman" w:hAnsi="Times New Roman" w:cs="Times New Roman"/>
          <w:sz w:val="28"/>
          <w:szCs w:val="28"/>
        </w:rPr>
        <w:t xml:space="preserve"> Việc xác lập và chia sẻ quyền SHTT giữa trường, giảng viên, nhóm nghiên cứu và doanh nghiệp chuyển giao vẫn thiếu thống nhất. Điều này tạo ra tâm lý e ngại đăng ký bảo hộ hoặc thương mại hóa, do lo ngại về quyền lợi và trách nhiệm không rõ ràng.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hướng dẫn cụ thể về định giá:</w:t>
      </w:r>
      <w:r w:rsidR="00545D7B" w:rsidRPr="00C17E24">
        <w:rPr>
          <w:rFonts w:ascii="Times New Roman" w:eastAsia="Times New Roman" w:hAnsi="Times New Roman" w:cs="Times New Roman"/>
          <w:sz w:val="28"/>
          <w:szCs w:val="28"/>
        </w:rPr>
        <w:t xml:space="preserve"> Nhiều trường thiếu hướng dẫn cụ thể trong việc xử lý tài sản công và định giá sản phẩm nghiên cứu phục vụ thương mại hóa, dẫn đến việc các kết quả nghiên cứu không được khai thác hiệu quả.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Rào cản tài chính và thủ tục hành chính:</w:t>
      </w:r>
      <w:r w:rsidR="00545D7B" w:rsidRPr="00C17E24">
        <w:rPr>
          <w:rFonts w:ascii="Times New Roman" w:eastAsia="Times New Roman" w:hAnsi="Times New Roman" w:cs="Times New Roman"/>
          <w:sz w:val="28"/>
          <w:szCs w:val="28"/>
        </w:rPr>
        <w:t xml:space="preserve"> Các</w:t>
      </w:r>
      <w:r w:rsidR="00545D7B" w:rsidRPr="00F74AAB">
        <w:rPr>
          <w:rFonts w:ascii="Times New Roman" w:eastAsia="Times New Roman" w:hAnsi="Times New Roman" w:cs="Times New Roman"/>
          <w:sz w:val="28"/>
          <w:szCs w:val="28"/>
        </w:rPr>
        <w:t xml:space="preserve"> trường và nhóm nghiên cứu phản ánh khó khăn trong việc tìm kiếm nguồn tài chính để trang trải phí đăng ký SHTT và các chi phí liên quan đến thương mại hóa sản phẩm. Quy trình mua sắm và quyết toán phức tạp, rườm rà, đặc biệt đối với đề tài có kinh phí lớn, khiến các </w:t>
      </w:r>
      <w:r w:rsidR="00545D7B" w:rsidRPr="00F74AAB">
        <w:rPr>
          <w:rFonts w:ascii="Times New Roman" w:eastAsia="Times New Roman" w:hAnsi="Times New Roman" w:cs="Times New Roman"/>
          <w:sz w:val="28"/>
          <w:szCs w:val="28"/>
        </w:rPr>
        <w:lastRenderedPageBreak/>
        <w:t xml:space="preserve">nhóm ngần ngại đăng ký các nghiên cứu cấp cao hơn, ảnh hưởng đến quy mô và tác động của các dự án.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w:t>
      </w:r>
      <w:r w:rsidR="00C17E24">
        <w:rPr>
          <w:rFonts w:ascii="Times New Roman" w:eastAsia="Times New Roman" w:hAnsi="Times New Roman" w:cs="Times New Roman"/>
          <w:b/>
          <w:bCs/>
          <w:sz w:val="28"/>
          <w:szCs w:val="28"/>
          <w:lang w:val="vi-VN"/>
        </w:rPr>
        <w:t xml:space="preserve"> </w:t>
      </w:r>
      <w:r w:rsidR="00545D7B" w:rsidRPr="00C17E24">
        <w:rPr>
          <w:rFonts w:ascii="Times New Roman" w:eastAsia="Times New Roman" w:hAnsi="Times New Roman" w:cs="Times New Roman"/>
          <w:bCs/>
          <w:sz w:val="28"/>
          <w:szCs w:val="28"/>
        </w:rPr>
        <w:t>Thiếu định nghĩa pháp lý và cơ chế đặc thù cho spin-off:</w:t>
      </w:r>
      <w:r w:rsidR="00545D7B" w:rsidRPr="00C17E24">
        <w:rPr>
          <w:rFonts w:ascii="Times New Roman" w:eastAsia="Times New Roman" w:hAnsi="Times New Roman" w:cs="Times New Roman"/>
          <w:sz w:val="28"/>
          <w:szCs w:val="28"/>
        </w:rPr>
        <w:t xml:space="preserve"> Các trường gặp khó khăn trong việc hỗ trợ hình thành doanh nghiệp spin-off (doanh nghiệp khởi nguồn từ kết quả nghiên cứu của trường) do chưa có quy định cụ thể về tiêu chí, quyền – nghĩa vụ, cơ chế ưu đãi về thuế, vốn mồi, và việc sử dụng hạ tầng trường đại học.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Khó khăn trong liên kết với doanh nghiệp:</w:t>
      </w:r>
      <w:r w:rsidR="00545D7B" w:rsidRPr="00C17E24">
        <w:rPr>
          <w:rFonts w:ascii="Times New Roman" w:eastAsia="Times New Roman" w:hAnsi="Times New Roman" w:cs="Times New Roman"/>
          <w:sz w:val="28"/>
          <w:szCs w:val="28"/>
        </w:rPr>
        <w:t xml:space="preserve"> Hoạt động hợp tác với doanh nghiệp còn thiếu cơ chế cụ thể và thiếu nhân sự chuyên trách để thúc đẩy, đặc biệt là với doanh nghiệp nhỏ và vừa, hoặc địa phương chưa có khả năng hấp thụ công nghệ cao.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Để tháo gỡ các vướng mắc và thúc đẩy SHTT, CGCN, các CSGDĐH đã đưa ra nhiều kiến nghị quan trọng:</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Về cơ chế pháp lý:</w:t>
      </w:r>
      <w:r w:rsidR="00545D7B" w:rsidRPr="00C17E24">
        <w:rPr>
          <w:rFonts w:ascii="Times New Roman" w:eastAsia="Times New Roman" w:hAnsi="Times New Roman" w:cs="Times New Roman"/>
          <w:sz w:val="28"/>
          <w:szCs w:val="28"/>
        </w:rPr>
        <w:t xml:space="preserve"> Kiến nghị có quy định phân chia lợi ích rõ ràng giữa nhà trường – giảng viên – doanh nghiệp; Đề xuất cho phép cơ chế sandbox (thử nghiệm) để thử nghiệm mô hình chuyển giao công nghệ mới; Cần có hướng dẫn rõ hơn về sở hữu trí tuệ, đặc biệt là việc xử lý tài sản công và định giá tài sản SHTT hình thành từ ngân sách nhà nước.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Về tài chính:</w:t>
      </w:r>
      <w:r w:rsidR="00545D7B" w:rsidRPr="00F74AAB">
        <w:rPr>
          <w:rFonts w:ascii="Times New Roman" w:eastAsia="Times New Roman" w:hAnsi="Times New Roman" w:cs="Times New Roman"/>
          <w:sz w:val="28"/>
          <w:szCs w:val="28"/>
        </w:rPr>
        <w:t xml:space="preserve"> Cần quy định ngân sách Nhà nước chi cho đăng ký SHTT và thương mại hóa; Đề xuất sử dụng ngân sách sự nghiệp để hỗ trợ phí đăng ký SHTT; Hỗ trợ lãi suất, tín dụng ưu đãi cho doanh nghiệp hợp tác với CSGDĐH để khuyến khích đầu tư vào nghiên cứu và ứng dụng.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Những đề xuất này nhấn mạnh sự cần thiết của một khung pháp lý và tài chính đồng bộ, linh hoạt hơn để các CSGDĐH có thể phát huy tối đa tiềm năng trong việc tạo ra và thương mại hóa các sản phẩm trí tuệ, đóng góp vào sự phát triển kinh tế - xã hội của đất nước.</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1.2.4. Khởi nghiệp, đổi mới sáng tạo và doanh nghiệp KH&amp;CN</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Hoạt động khởi nghiệp và đổi mới sáng tạo (ĐMST), đặc biệt là việc hình thành các doanh nghiệp khoa học và công nghệ (DNKH&amp;CN) hay spin-off/start-up từ kết quả nghiên cứu trong CSGDĐH, là một trong những điểm mới và trọng tâm của Nghị định 109/2022/NĐ-CP. Các trường đã tích cực xây dựng hệ sinh thái hỗ trợ và bước đầu đạt được những kết quả đáng khích lệ.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Hệ sinh thái khởi nghiệp – ĐMST tại các CSGDĐH đã được hình thành và bước đầu phát triển mạnh mẽ, thể hiện qua sự đầu tư vào cơ sở vật chất, tổ chức các hoạt động hỗ trợ và xây dựng cơ chế nội bộ. Nhiều trường đã thành lập các trung tâm khởi nghiệp, đổi mới sáng tạo và chuyển giao công nghệ, đồng thời đầu tư vào cơ sở vật chất như không gian làm việc chung (coworking space), hệ thống phòng thí nghiệm, và các khu ươm tạo dự án (ví dụ: Đại học Hạ Long đã thành lập trung tâm riêng và triển khai coworking space).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lastRenderedPageBreak/>
        <w:t xml:space="preserve">Các CSGDĐH thường xuyên tổ chức các cuộc thi khởi nghiệp định kỳ (ví dụ: UEH tổ chức ~10 cuộc thi mỗi năm, tổ chức cuộc thi ý tưởng SV khởi nghiệp hàng năm), hội thảo chuyên đề về chuyển đổi số, đổi mới sáng tạo. Nhiều dự án sinh viên và giảng viên đã đạt giải cao tại các cuộc thi cấp bộ, quốc gia (SV-STARTUP, Startup – Vườn ươm – Nhà đầu tư, SV NCKH, Sáng tạo kỹ thuật) và đã gọi vốn thành công hoặc thương mại hóa sản phẩm. Các trường cũng chủ động hỗ trợ sinh viên tiếp cận doanh nghiệp, gọi vốn và đăng ký sở hữu trí tuệ cho các dự án khởi nghiệp.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Mặc dù có những nỗ lực đáng kể, hoạt động khởi nghiệp và ĐMST trong CSGDĐH vẫn đối mặt với nhiều rào cản, chủ yếu liên quan đến khung pháp lý, nguồn lực và cơ chế hỗ trợ:</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khung pháp lý rõ ràng và cơ chế tài chính đặc thù cho doanh nghiệp spin-off/start-up:</w:t>
      </w:r>
      <w:r w:rsidR="00545D7B" w:rsidRPr="00C17E24">
        <w:rPr>
          <w:rFonts w:ascii="Times New Roman" w:eastAsia="Times New Roman" w:hAnsi="Times New Roman" w:cs="Times New Roman"/>
          <w:sz w:val="28"/>
          <w:szCs w:val="28"/>
        </w:rPr>
        <w:t xml:space="preserve"> Hiện chưa có quy định cụ thể về tiêu chí, quyền – nghĩa vụ, cơ chế ưu đãi về thuế, vốn mồi, và việc sử dụng hạ tầng trường đại học cho các DNKH&amp;CN hình thành từ kết quả nghiên cứu của trường. Vướng mắc về cơ chế góp vốn, các quy định pháp lý và vấn đề sử dụng tài sản công cũng là rào cản lớn. Việc thiếu quy định cụ thể về cơ chế chia sẻ lợi ích, hỗ trợ tài chính, hạ tầng và pháp lý trong xây dựng vườn ươm khởi nghiệp tại trường cũng là một điểm nghẽn. Sự thiếu hụt này tạo ra một sự không chắc chắn pháp lý, làm giảm động lực cho các nhà khoa học và sinh viên biến ý tưởng thành sản phẩm thương mại.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Nguồn lực tài chính hỗ trợ khởi nghiệp còn hạn chế:</w:t>
      </w:r>
      <w:r w:rsidR="00545D7B" w:rsidRPr="00C17E24">
        <w:rPr>
          <w:rFonts w:ascii="Times New Roman" w:eastAsia="Times New Roman" w:hAnsi="Times New Roman" w:cs="Times New Roman"/>
          <w:sz w:val="28"/>
          <w:szCs w:val="28"/>
        </w:rPr>
        <w:t xml:space="preserve"> Thiếu cơ chế tài chính đặc thù để phát triển các dự án khởi nghiệp và DNKH&amp;CN.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chuyên gia có kinh nghiệm:</w:t>
      </w:r>
      <w:r w:rsidR="00545D7B" w:rsidRPr="00C17E24">
        <w:rPr>
          <w:rFonts w:ascii="Times New Roman" w:eastAsia="Times New Roman" w:hAnsi="Times New Roman" w:cs="Times New Roman"/>
          <w:sz w:val="28"/>
          <w:szCs w:val="28"/>
        </w:rPr>
        <w:t xml:space="preserve"> Thiếu các chuyên gia có kinh nghiệm trong tư vấn khởi nghiệp, gọi vốn, và phát triển thị trường.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Cơ sở vật chất chưa đáp ứng đủ nhu cầu:</w:t>
      </w:r>
      <w:r w:rsidR="00545D7B" w:rsidRPr="00C17E24">
        <w:rPr>
          <w:rFonts w:ascii="Times New Roman" w:eastAsia="Times New Roman" w:hAnsi="Times New Roman" w:cs="Times New Roman"/>
          <w:sz w:val="28"/>
          <w:szCs w:val="28"/>
        </w:rPr>
        <w:t xml:space="preserve"> Mặc dù đã có đầu tư, nhưng cơ sở vật chất, đặc biệt là các phòng lab chuyên sâu và không gian ươm tạo đủ tiêu chuẩn, vẫn chưa đáp ứng được nhu cầu.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Hoạt động khởi nghiệp còn sơ khai ở một số trường</w:t>
      </w:r>
      <w:r w:rsidR="00545D7B" w:rsidRPr="00C17E24">
        <w:rPr>
          <w:rFonts w:ascii="Times New Roman" w:eastAsia="Times New Roman" w:hAnsi="Times New Roman" w:cs="Times New Roman"/>
          <w:sz w:val="28"/>
          <w:szCs w:val="28"/>
        </w:rPr>
        <w:t xml:space="preserve">.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Để thúc đẩy mạnh mẽ hơn nữa hoạt động khởi nghiệp, ĐMST và hình thành DNKH&amp;CN trong các CSGDĐH, cần có sự thay đổi đột phá về cơ chế chính sách:</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545D7B" w:rsidRPr="00C17E24">
        <w:rPr>
          <w:rFonts w:ascii="Times New Roman" w:eastAsia="Times New Roman" w:hAnsi="Times New Roman" w:cs="Times New Roman"/>
          <w:bCs/>
          <w:sz w:val="28"/>
          <w:szCs w:val="28"/>
        </w:rPr>
        <w:t>Hoàn thiện khung pháp lý:</w:t>
      </w:r>
      <w:r w:rsidR="00545D7B" w:rsidRPr="00C17E24">
        <w:rPr>
          <w:rFonts w:ascii="Times New Roman" w:eastAsia="Times New Roman" w:hAnsi="Times New Roman" w:cs="Times New Roman"/>
          <w:sz w:val="28"/>
          <w:szCs w:val="28"/>
        </w:rPr>
        <w:t xml:space="preserve"> Bổ sung hướng dẫn chi tiết về góp vốn bằng tài sản trí tuệ (cách định giá và góp vốn</w:t>
      </w:r>
      <w:r w:rsidR="00545D7B" w:rsidRPr="00F74AAB">
        <w:rPr>
          <w:rFonts w:ascii="Times New Roman" w:eastAsia="Times New Roman" w:hAnsi="Times New Roman" w:cs="Times New Roman"/>
          <w:sz w:val="28"/>
          <w:szCs w:val="28"/>
        </w:rPr>
        <w:t xml:space="preserve"> bằng sáng chế, giải pháp hữu ích, bí quyết công nghệ); Cần cho phép và hướng dẫn cụ thể về việc sử dụng cơ sở vật chất, trang thiết bị của trường đại học (là tài sản công) cho các DNKH&amp;CN trong giai đoạn ươm tạo hoặc khởi đầu; Cần có hướng dẫn về các chính sách ưu đãi về thuế, miễn phí thuê đất, và cơ chế cấp vốn mồi từ quỹ nhà nước cho các DNKH&amp;CN xuất phát từ CSGDĐH; Cho phép cơ chế sandbox (thử nghiệm trong môi trường kiểm soát) đối với các mô hình spin-off trong các CSGDĐH để kiểm tra tính khả thi của chính sách </w:t>
      </w:r>
      <w:r w:rsidR="00545D7B" w:rsidRPr="00F74AAB">
        <w:rPr>
          <w:rFonts w:ascii="Times New Roman" w:eastAsia="Times New Roman" w:hAnsi="Times New Roman" w:cs="Times New Roman"/>
          <w:sz w:val="28"/>
          <w:szCs w:val="28"/>
        </w:rPr>
        <w:lastRenderedPageBreak/>
        <w:t xml:space="preserve">trước khi ban hành rộng rãi; Cần có định nghĩa pháp lý rõ ràng và đầy đủ về doanh nghiệp spin-off, spin-out, start-up trong CSGDĐH.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w:t>
      </w:r>
      <w:r w:rsidR="00545D7B" w:rsidRPr="00C17E24">
        <w:rPr>
          <w:rFonts w:ascii="Times New Roman" w:eastAsia="Times New Roman" w:hAnsi="Times New Roman" w:cs="Times New Roman"/>
          <w:bCs/>
          <w:sz w:val="28"/>
          <w:szCs w:val="28"/>
        </w:rPr>
        <w:t>Tăng cường nguồn lực và cơ chế hỗ trợ:</w:t>
      </w:r>
      <w:r w:rsidR="00545D7B" w:rsidRPr="00C17E24">
        <w:rPr>
          <w:rFonts w:ascii="Times New Roman" w:eastAsia="Times New Roman" w:hAnsi="Times New Roman" w:cs="Times New Roman"/>
          <w:sz w:val="28"/>
          <w:szCs w:val="28"/>
        </w:rPr>
        <w:t xml:space="preserve"> Xây dựng cơ chế tài chính đặc thù để hỗ trợ các hoạt động khởi nghiệp và ĐMST, bao gồm</w:t>
      </w:r>
      <w:r w:rsidR="00545D7B" w:rsidRPr="00F74AAB">
        <w:rPr>
          <w:rFonts w:ascii="Times New Roman" w:eastAsia="Times New Roman" w:hAnsi="Times New Roman" w:cs="Times New Roman"/>
          <w:sz w:val="28"/>
          <w:szCs w:val="28"/>
        </w:rPr>
        <w:t xml:space="preserve"> cả nguồn vốn mồi và quỹ ươm tạo; Đào tạo và thu hút đội ngũ chuyên gia về khởi nghiệp, quản lý công nghệ, sở hữu trí tuệ để hỗ trợ các dự án; Khuyến khích hợp tác công tư (PPP) trong nghiên cứu – chuyển giao – đào tạo để huy động nguồn lực từ doanh nghiệp; Phát triển các trung tâm đổi mới sáng tạo và vườn ươm khởi nghiệp đạt chuẩn, kết nối hiệu quả với quỹ đầu tư và các tổ chức hỗ trợ khởi nghiệp quốc gia/quốc tế.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Những đề xuất này nhằm tạo ra một môi trường thuận lợi, khuyến khích các giảng viên và sinh viên mạnh dạn biến ý tưởng nghiên cứu thành sản phẩm, dịch vụ và các DNKH&amp;CN có giá trị, đóng góp vào sự phát triển kinh tế và xã hội dựa trên tri thức.</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1.2.5. Hợp tác với doanh nghiệp và địa phương</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Hợp tác với doanh nghiệp và địa phương là một trụ cột quan trọng trong chiến lược phát triển của các CSGDĐH, đặc biệt trong bối cảnh thúc đẩy KH&amp;CN và đổi mới sáng tạo. Hoạt động này nhằm gắn kết nghiên cứu khoa học với nhu cầu thực tiễn của sản xuất, kinh doanh và phát triển kinh tế - xã hội địa phương. Trong hai năm qua, các CSGDĐH đã tích cực đẩy mạnh các hoạt động hợp tác.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Các CSGDĐH đã chủ động và tích cực tìm kiếm, thiết lập các mối quan hệ hợp tác với doanh nghiệp và các tổ chức địa phương thông qua nhiều hình thức đa dạng. Nhiều trường đã ký kết các biên bản ghi nhớ (MOU) hoặc hợp đồng hợp tác nghiên cứu, phản biện chính sách, và đào tạo liên kết với một số lượng lớn doanh nghiệp và tổ chức cả trong và ngoài nước. Một số trường đã chủ động hoặc được doanh nghiệp đặt hàng nghiên cứu, giúp các đề tài có tính ứng dụng cao và đáp ứng trực tiếp nhu cầu thị trường. Nhiều trường cũng đã tổ chức các hội chợ việc làm, diễn đàn liên kết nhà trường – doanh nghiệp để tạo cơ hội cho sinh viên tiếp cận thị trường lao động và giúp nhà trường hiệu chỉnh chương trình đào tạo phù hợp với nhu cầu của doanh nghiệp. Một số trường đã thực hiện chuyển giao các công trình và sản phẩm KH&amp;CN có giá trị thực tiễn.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Mặc dù có những nỗ lực, hoạt động hợp tác giữa CSGDĐH và doanh nghiệp/địa phương vẫn chưa đạt được chiều sâu như kỳ vọng và đối mặt với nhiều rào cản:</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chiều sâu trong hợp tác:</w:t>
      </w:r>
      <w:r w:rsidR="00545D7B" w:rsidRPr="00C17E24">
        <w:rPr>
          <w:rFonts w:ascii="Times New Roman" w:eastAsia="Times New Roman" w:hAnsi="Times New Roman" w:cs="Times New Roman"/>
          <w:sz w:val="28"/>
          <w:szCs w:val="28"/>
        </w:rPr>
        <w:t xml:space="preserve"> Hoạt động hợp tác chủ yếu dừng lại ở việc ký kết văn bản, tham gia hội chợ việc làm, hoặc các dự án nhỏ lẻ. Sự kết nối giữa trường và doanh nghiệp còn yếu, thiếu các đơn đặt hàng nghiên cứu cụ thể, quy mô lớn và dài hạn từ doanh nghiệp. Hoạt động chuyển giao công nghệ còn hạn chế, chủ yếu </w:t>
      </w:r>
      <w:r w:rsidR="00545D7B" w:rsidRPr="00C17E24">
        <w:rPr>
          <w:rFonts w:ascii="Times New Roman" w:eastAsia="Times New Roman" w:hAnsi="Times New Roman" w:cs="Times New Roman"/>
          <w:sz w:val="28"/>
          <w:szCs w:val="28"/>
        </w:rPr>
        <w:lastRenderedPageBreak/>
        <w:t xml:space="preserve">tập trung ở một số lĩnh vực hoặc chưa mở rộng quy mô. Điều này cho thấy sự hợp tác vẫn còn mang tính hình thức, chưa đi vào thực chất để tạo ra tác động lớn.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Rào cản về cơ chế và pháp lý:</w:t>
      </w:r>
      <w:r w:rsidR="00545D7B" w:rsidRPr="00C17E24">
        <w:rPr>
          <w:rFonts w:ascii="Times New Roman" w:eastAsia="Times New Roman" w:hAnsi="Times New Roman" w:cs="Times New Roman"/>
          <w:sz w:val="28"/>
          <w:szCs w:val="28"/>
        </w:rPr>
        <w:t xml:space="preserve"> Sự khác biệt về văn hóa giữa môi trường học thuật (nghiên cứu cơ bản, dài hạn) và môi trường doanh nghiệp (ứng dụng, ngắn hạn, hiệu quả kinh tế tức thì) vẫn có sự khác biệt, gây khó khăn trong việc tìm tiếng nói chung. Ngoài ra, còn thiếu cơ chế chia sẻ lợi ích rõ ràng và thiếu cơ chế pháp lý rõ ràng trong chia sẻ quyền SHTT.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Hạn chế về kinh phí và nguồn lực:</w:t>
      </w:r>
      <w:r w:rsidR="00545D7B" w:rsidRPr="00C17E24">
        <w:rPr>
          <w:rFonts w:ascii="Times New Roman" w:eastAsia="Times New Roman" w:hAnsi="Times New Roman" w:cs="Times New Roman"/>
          <w:sz w:val="28"/>
          <w:szCs w:val="28"/>
        </w:rPr>
        <w:t xml:space="preserve"> Kinh phí KH&amp;CN chủ yếu đến từ học phí trích lập hoặc ngân sách nhà nước, nguồn tài trợ từ doanh nghiệp tuy có tăng nhưng chưa ổn định và đủ lớn. Một số</w:t>
      </w:r>
      <w:r w:rsidR="00545D7B" w:rsidRPr="00F74AAB">
        <w:rPr>
          <w:rFonts w:ascii="Times New Roman" w:eastAsia="Times New Roman" w:hAnsi="Times New Roman" w:cs="Times New Roman"/>
          <w:sz w:val="28"/>
          <w:szCs w:val="28"/>
        </w:rPr>
        <w:t xml:space="preserve"> trường còn thiếu nhân sự chuyên trách có năng lực và kinh nghiệm để xúc tiến, quản lý các dự án hợp tác với doanh nghiệp.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Khó khăn trong liên kết với doanh nghiệp nhỏ, địa phương chưa có khả năng hấp thụ công nghệ cao</w:t>
      </w:r>
      <w:r w:rsidR="00545D7B" w:rsidRPr="00C17E24">
        <w:rPr>
          <w:rFonts w:ascii="Times New Roman" w:eastAsia="Times New Roman" w:hAnsi="Times New Roman" w:cs="Times New Roman"/>
          <w:sz w:val="28"/>
          <w:szCs w:val="28"/>
        </w:rPr>
        <w:t xml:space="preserve">.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Để khắc phục những hạn chế và đưa hoạt động hợp tác đi vào chiều sâu, bền vững, cần có các giải pháp đồng bộ:</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Hoàn thiện cơ chế chính sách:</w:t>
      </w:r>
      <w:r w:rsidR="00545D7B" w:rsidRPr="00C17E24">
        <w:rPr>
          <w:rFonts w:ascii="Times New Roman" w:eastAsia="Times New Roman" w:hAnsi="Times New Roman" w:cs="Times New Roman"/>
          <w:sz w:val="28"/>
          <w:szCs w:val="28"/>
        </w:rPr>
        <w:t xml:space="preserve"> Kiến nghị có quy định phân chia lợi ích rõ ràng giữa nhà trường – giảng viên – doanh nghiệp để tạo động lực cho các bên tham gia; Áp dụng cơ chế "hậu kiểm" và số hóa quy trình nghiên cứu, giảm bớt thủ tục hành chính để tăng tính linh hoạt; Khuyến khích mô hình hợp tác công tư (PPP) trong nghiên cứu – chuyển giao – đào tạo, xây dựng cơ chế đặt hàng nghiên cứu từ doanh nghiệp; Đề xuất có quy định ngân sách Nhà nước chi cho đăng ký SHTT và thương mại hóa, đồng thời hỗ trợ lãi suất, tín dụng ưu đãi cho doanh nghiệp hợp tác với CSGDĐH; Cho phép cơ chế sandbox để thử nghiệm các mô hình chuyển giao công nghệ mới.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Phát triển nguồn lực:</w:t>
      </w:r>
      <w:r w:rsidR="00545D7B" w:rsidRPr="00C17E24">
        <w:rPr>
          <w:rFonts w:ascii="Times New Roman" w:eastAsia="Times New Roman" w:hAnsi="Times New Roman" w:cs="Times New Roman"/>
          <w:sz w:val="28"/>
          <w:szCs w:val="28"/>
        </w:rPr>
        <w:t xml:space="preserve"> Tăng cường đào tạo, bồi dưỡng đội ngũ cán bộ chuyên trách về chuyển giao công nghệ, quản lý dự án hợp tác; Khuyến khích thành lập và hỗ trợ các văn phòng chuyển giao công nghệ chuyên nghiệp trong các trường.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Tăng cường kết nối:</w:t>
      </w:r>
      <w:r w:rsidR="00545D7B" w:rsidRPr="00C17E24">
        <w:rPr>
          <w:rFonts w:ascii="Times New Roman" w:eastAsia="Times New Roman" w:hAnsi="Times New Roman" w:cs="Times New Roman"/>
          <w:sz w:val="28"/>
          <w:szCs w:val="28"/>
        </w:rPr>
        <w:t xml:space="preserve"> Phát triển các nền tảng, sự kiện kết nối cung – cầu công nghệ thường xuyên, hiệu quả</w:t>
      </w:r>
      <w:r w:rsidR="00545D7B" w:rsidRPr="00F74AAB">
        <w:rPr>
          <w:rFonts w:ascii="Times New Roman" w:eastAsia="Times New Roman" w:hAnsi="Times New Roman" w:cs="Times New Roman"/>
          <w:sz w:val="28"/>
          <w:szCs w:val="28"/>
        </w:rPr>
        <w:t xml:space="preserve"> hơn; Xây dựng mạng lưới quốc gia kết nối cung – cầu KH&amp;CN, hỗ trợ thương mại hóa kết quả nghiên cứu.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Việc tháo gỡ các rào cản trên sẽ tạo điều kiện thuận lợi hơn cho hoạt động hợp tác, giúp các CSGDĐH phát huy tối đa vai trò là cầu nối giữa tri thức hàn lâm và ứng dụng thực tiễn, đóng góp vào sự phát triển bền vững của doanh nghiệp và địa phương.</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1.2.6. Đảm bảo liêm chính học thuật</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Liêm chính học thuật là nền tảng cốt lõi cho mọi hoạt động nghiên cứu khoa học và đào tạo chất lượng cao. Nghị định 109/2022/NĐ-CP đã nhấn mạnh tầm quan </w:t>
      </w:r>
      <w:r w:rsidRPr="00F74AAB">
        <w:rPr>
          <w:rFonts w:ascii="Times New Roman" w:eastAsia="Times New Roman" w:hAnsi="Times New Roman" w:cs="Times New Roman"/>
          <w:sz w:val="28"/>
          <w:szCs w:val="28"/>
        </w:rPr>
        <w:lastRenderedPageBreak/>
        <w:t xml:space="preserve">trọng của việc xây dựng một môi trường học thuật minh bạch và có trách nhiệm. Trong bối cảnh đó, các CSGDĐH đã triển khai nhiều biện pháp nhằm đảm bảo và nâng cao liêm chính học thuật.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Hầu hết các trường đại học đã áp dụng các phần mềm kiểm tra đạo văn chuyên nghiệp như Turnitin trong tất cả các đề tài nghiên cứu, khóa luận tốt nghiệp, luận văn thạc sĩ và luận án tiến sĩ. Việc này giúp phát hiện và ngăn chặn kịp thời các hành vi đạo văn, gian lận trong học thuật. Việc sử dụng phần mềm đạo văn không chỉ giúp kiểm soát đầu ra mà còn có tác dụng răn đe, nâng cao ý thức tự giác của người học và giảng viên trong việc tuân thủ các quy tắc về sở hữu trí tuệ và trích dẫn.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Các trường thường xuyên tổ chức các buổi tập huấn định kỳ, hội thảo chuyên đề về đạo đức nghiên cứu khoa học, liêm chính học thuật cho cán bộ, giảng viên và sinh viên. Nội dung tập huấn bao gồm các quy tắc về trích dẫn, tham khảo, tránh đạo văn, cũng như các hành vi vi phạm đạo đức nghiên cứu và hậu quả của chúng. Mục tiêu là trang bị kiến thức, kỹ năng và nâng cao ý thức trách nhiệm cho toàn thể cộng đồng học thuật trong việc duy trì sự trung thực và minh bạch.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Một số trường đã chủ động thành lập hội đồng đạo đức nghiên cứu và ban hành quy chế liêm chính học thuật riêng. Điều này cho thấy sự cam kết và nỗ lực trong việc đồng bộ hóa hoạt động KH&amp;CN với tiêu chuẩn quốc tế. Các quy chế này thường bao gồm các quy định cụ thể về hành vi được phép và không được phép trong nghiên cứu, quy trình xử lý các vi phạm, và trách nhiệm của từng cá nhân trong việc duy trì liêm chính.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Mặc dù đã có những nỗ lực đáng kể, việc đảm bảo liêm chính học thuật cần được củng cố hơn nữa, tập trung vào</w:t>
      </w:r>
      <w:r w:rsidRPr="00F74AAB">
        <w:rPr>
          <w:rFonts w:ascii="Times New Roman" w:eastAsia="Times New Roman" w:hAnsi="Times New Roman" w:cs="Times New Roman"/>
          <w:b/>
          <w:bCs/>
          <w:sz w:val="28"/>
          <w:szCs w:val="28"/>
        </w:rPr>
        <w:t>:</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Ban hành bộ quy tắc ứng xử chung toàn hệ thống GDĐH:</w:t>
      </w:r>
      <w:r w:rsidR="00545D7B" w:rsidRPr="00C17E24">
        <w:rPr>
          <w:rFonts w:ascii="Times New Roman" w:eastAsia="Times New Roman" w:hAnsi="Times New Roman" w:cs="Times New Roman"/>
          <w:sz w:val="28"/>
          <w:szCs w:val="28"/>
        </w:rPr>
        <w:t xml:space="preserve"> Điều này sẽ tạo sự đồng bộ và thống nhất trong việc áp dụng các tiêu chuẩn về liêm chính học thuật trên phạm vi cả nước.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Áp dụng đào tạo bắt buộc định kỳ về đạo đức nghiên cứu:</w:t>
      </w:r>
      <w:r w:rsidR="00545D7B" w:rsidRPr="00C17E24">
        <w:rPr>
          <w:rFonts w:ascii="Times New Roman" w:eastAsia="Times New Roman" w:hAnsi="Times New Roman" w:cs="Times New Roman"/>
          <w:sz w:val="28"/>
          <w:szCs w:val="28"/>
        </w:rPr>
        <w:t xml:space="preserve"> Giúp cập nhật kiến thức và nhắc nhở thường xuyên về tầm quan trọng của liêm chính học thuật.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Xây dựng cơ chế đánh giá tín nhiệm học thuật:</w:t>
      </w:r>
      <w:r w:rsidR="00545D7B" w:rsidRPr="00C17E24">
        <w:rPr>
          <w:rFonts w:ascii="Times New Roman" w:eastAsia="Times New Roman" w:hAnsi="Times New Roman" w:cs="Times New Roman"/>
          <w:sz w:val="28"/>
          <w:szCs w:val="28"/>
        </w:rPr>
        <w:t xml:space="preserve"> Việc đánh giá tín nhiệm học thuật trong hồ sơ giảng viên có thể là một tiêu chí quan trọng để khuyến khích và duy trì liêm chính trong hoạt động nghiên cứu và giảng dạy.   </w:t>
      </w:r>
    </w:p>
    <w:p w:rsidR="00545D7B" w:rsidRPr="00C17E24" w:rsidRDefault="00C17E24"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vi-VN"/>
        </w:rPr>
        <w:t xml:space="preserve"> </w:t>
      </w:r>
      <w:r w:rsidR="00F74AAB" w:rsidRPr="00C17E2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Bắt buộc kiểm tra đạo văn không chỉ với sản phẩm cuối cùng mà có thể áp dụng cho các báo cáo tiến độ, dự thảo công trình</w:t>
      </w:r>
      <w:r w:rsidR="00545D7B" w:rsidRPr="00C17E24">
        <w:rPr>
          <w:rFonts w:ascii="Times New Roman" w:eastAsia="Times New Roman" w:hAnsi="Times New Roman" w:cs="Times New Roman"/>
          <w:sz w:val="28"/>
          <w:szCs w:val="28"/>
        </w:rPr>
        <w:t xml:space="preserve"> để phát hiện sớm và kịp thời chấn chỉnh.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Việc tiếp tục tăng cường các biện pháp này sẽ giúp xây dựng một môi trường học thuật lành mạnh, trung thực, là nền tảng vững chắc cho sự phát triển bền vững của KH&amp;CN và giáo dục đại học tại Việt Nam.</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lastRenderedPageBreak/>
        <w:t>1.2.7. Quản lý Quỹ phát triển KH&amp;CN</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Nghị định 109/2022/NĐ-CP đã tạo cơ sở pháp lý quan trọng cho các CSGDĐH trong việc chủ động huy động và quản lý nguồn lực tài chính cho hoạt động khoa học và công nghệ (KH&amp;CN). Trong thời gian qua, nhiều trường đã tích cực triển khai việc trích lập Quỹ phát triển KH&amp;CN từ học phí và các nguồn thu hợp pháp khác.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Nhiều CSGDĐH đã chủ động thực hiện việc trích lập Quỹ phát triển KH&amp;CN từ nguồn học phí và các nguồn thu hợp pháp khác theo quy định tại Điều 31 của Nghị định 109/2022/NĐ-CP (yêu cầu trích tối thiểu 5% học phí và các nguồn thu hợp pháp khác). Điều này cho thấy sự cam kết và nỗ lực của các trường trong việc tự chủ tài chính để đầu tư cho KH&amp;CN. Các quỹ này được sử dụng để hỗ trợ đa dạng các hoạt động như cấp kinh phí thực hiện đề tài nghiên cứu cấp cơ sở, hỗ trợ công bố quốc tế, tổ chức hội thảo khoa học, cấp học bổng cho sinh viên nghiên cứu, hỗ trợ đăng ký sở hữu trí tuệ (SHTT), và thúc đẩy các dự án khởi nghiệp. Điều này góp phần giảm bớt sự phụ thuộc vào ngân sách nhà nước và tạo ra nguồn tài chính ổn định hơn cho hoạt động nghiên cứu. Một số trường đã công khai mức trích lập và cách sử dụng quỹ, thể hiện tính minh bạch và hiệu quả bước đầu trong việc phân bổ nguồn lực cho các hoạt động KH&amp;CN nội bộ.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Tuy nhiên, các quy định hiện hành về cơ chế tài chính vẫn còn nhiều điểm bất cập, gây khó khăn đáng kể cho việc sử dụng linh hoạt quỹ và triển khai các hoạt động nghiên cứu:</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5D5EFB">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hướng dẫn cụ thể về vận hành Quỹ:</w:t>
      </w:r>
      <w:r w:rsidR="00545D7B" w:rsidRPr="00C17E24">
        <w:rPr>
          <w:rFonts w:ascii="Times New Roman" w:eastAsia="Times New Roman" w:hAnsi="Times New Roman" w:cs="Times New Roman"/>
          <w:sz w:val="28"/>
          <w:szCs w:val="28"/>
        </w:rPr>
        <w:t xml:space="preserve"> Đây là rào cản lớn nhất. Mặc dù Nghị định đã cho phép trích lập quỹ, nhưng lại thiếu các văn bản hướng dẫn chi tiết từ cấp trên về cách thức vận hành, xét duyệt, tiêu chí phân bổ kinh phí, và điều kiện chi tiêu của Quỹ phát triển KH&amp;CN. Sự thiếu rõ ràng này dẫn đến tâm lý e ngại hoặc chưa dám mạnh dạn triển khai các hoạt động liên quan đến quỹ, làm giảm hiệu quả sử dụng nguồn lực đã trích lập. Việc này cho thấy sự cần thiết của các văn bản dưới luật để cụ thể hóa và tạo điều kiện cho việc thực thi hiệu quả.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Khó khăn trong sử dụng linh hoạt quỹ:</w:t>
      </w:r>
      <w:r w:rsidR="00545D7B" w:rsidRPr="00C17E24">
        <w:rPr>
          <w:rFonts w:ascii="Times New Roman" w:eastAsia="Times New Roman" w:hAnsi="Times New Roman" w:cs="Times New Roman"/>
          <w:sz w:val="28"/>
          <w:szCs w:val="28"/>
        </w:rPr>
        <w:t xml:space="preserve"> Các quy định hiện hành về quản lý tài chính công thường mang tính cứng nhắc, không phù hợp với đặc thù của hoạt động nghiên cứu khoa học. Việc sử dụng linh hoạt quỹ để đáp ứng kịp thời các nhu cầu phát sinh trong quá trình nghiên cứu, hỗ trợ các nhóm nghiên cứu mới hoặc các dự án có tính đột phá còn rất hạn chế.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Rào cản về quy trình đấu thầu, mua sắm trang thiết bị nghiên cứu:</w:t>
      </w:r>
      <w:r w:rsidR="00545D7B" w:rsidRPr="00C17E24">
        <w:rPr>
          <w:rFonts w:ascii="Times New Roman" w:eastAsia="Times New Roman" w:hAnsi="Times New Roman" w:cs="Times New Roman"/>
          <w:sz w:val="28"/>
          <w:szCs w:val="28"/>
        </w:rPr>
        <w:t xml:space="preserve"> Quy trình đấu thầu và mua sắm trang thiết bị KH&amp;CN còn phức tạp, rườm rà và kéo dài. Điều này gây khó khăn cho các nhà khoa học trong việc tiếp cận kịp thời các thiết bị, vật tư cần thiết cho nghiên cứu, đặc biệt là các thiết bị công nghệ cao hoặc các vật tư </w:t>
      </w:r>
      <w:r w:rsidR="00545D7B" w:rsidRPr="00C17E24">
        <w:rPr>
          <w:rFonts w:ascii="Times New Roman" w:eastAsia="Times New Roman" w:hAnsi="Times New Roman" w:cs="Times New Roman"/>
          <w:sz w:val="28"/>
          <w:szCs w:val="28"/>
        </w:rPr>
        <w:lastRenderedPageBreak/>
        <w:t xml:space="preserve">chuyên dụng có yêu cầu đặc thù. Quá trình thanh quyết toán cũng phức tạp, tốn nhiều thời gian và công sức của các nhà khoa học, thay vì tập trung vào chuyên môn.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Quy định về tài sản công:</w:t>
      </w:r>
      <w:r w:rsidR="00545D7B" w:rsidRPr="00C17E24">
        <w:rPr>
          <w:rFonts w:ascii="Times New Roman" w:eastAsia="Times New Roman" w:hAnsi="Times New Roman" w:cs="Times New Roman"/>
          <w:sz w:val="28"/>
          <w:szCs w:val="28"/>
        </w:rPr>
        <w:t xml:space="preserve"> Các vướng mắc liên quan đến tài sản công cũng ảnh hưởng đến việc sử dụng hiệu quả các thiết bị nghiên cứu và thương mại hóa kết quả nghiên cứu hình thành từ ngân sách nhà nước.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Một số trường còn e ngại thành lập bộ máy quản lý quỹ riêng</w:t>
      </w:r>
      <w:r w:rsidR="00545D7B" w:rsidRPr="00C17E24">
        <w:rPr>
          <w:rFonts w:ascii="Times New Roman" w:eastAsia="Times New Roman" w:hAnsi="Times New Roman" w:cs="Times New Roman"/>
          <w:sz w:val="28"/>
          <w:szCs w:val="28"/>
        </w:rPr>
        <w:t xml:space="preserve"> do xu hướng tinh gọn của Nhà nước.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văn bản hướng dẫn cụ thể về quản lý, kiểm toán, giám sát quỹ ở cấp trường:</w:t>
      </w:r>
      <w:r w:rsidR="00545D7B" w:rsidRPr="00C17E24">
        <w:rPr>
          <w:rFonts w:ascii="Times New Roman" w:eastAsia="Times New Roman" w:hAnsi="Times New Roman" w:cs="Times New Roman"/>
          <w:sz w:val="28"/>
          <w:szCs w:val="28"/>
        </w:rPr>
        <w:t xml:space="preserve"> Điều này khiến các trường gặp khó khăn trong việc đảm bảo tính minh bạch và hiệu quả của việc sử dụng quỹ.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Kiến nghị từ các CSGDĐH:</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Ban hành Thông tư hướng dẫn vận hành Quỹ:</w:t>
      </w:r>
      <w:r w:rsidR="00545D7B" w:rsidRPr="00C17E24">
        <w:rPr>
          <w:rFonts w:ascii="Times New Roman" w:eastAsia="Times New Roman" w:hAnsi="Times New Roman" w:cs="Times New Roman"/>
          <w:sz w:val="28"/>
          <w:szCs w:val="28"/>
        </w:rPr>
        <w:t xml:space="preserve"> Kiến nghị Bộ Tài chính và Bộ GD&amp;ĐT sớm ban hành Thông tư hướng dẫn cụ thể về vận hành, quản lý, kiểm toán, giám sát Quỹ phát triển KH&amp;CN tại CSGDĐH, quy định rõ cơ chế lập, sử dụng, báo cáo, giám sát quỹ, và tiêu chí cấp kinh phí.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Nới rộng quy định về tỷ lệ trích học phí:</w:t>
      </w:r>
      <w:r w:rsidR="00545D7B" w:rsidRPr="00C17E24">
        <w:rPr>
          <w:rFonts w:ascii="Times New Roman" w:eastAsia="Times New Roman" w:hAnsi="Times New Roman" w:cs="Times New Roman"/>
          <w:sz w:val="28"/>
          <w:szCs w:val="28"/>
        </w:rPr>
        <w:t xml:space="preserve"> Một số đơn vị đề xuất cần nới rộng quy định về tỷ lệ phần trăm trích học phí cho KH&amp;CN, vì mỗi trường có đặc thù khác nhau, cần có mức linh hoạt tương ứng (có thể linh hoạt hơn 5% tùy theo điều kiện tài chính và định hướng chiến lược của từng trường, đặc biệt là trường tư thục).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Cơ cấu tài chính linh hoạt:</w:t>
      </w:r>
      <w:r w:rsidR="00545D7B" w:rsidRPr="00C17E24">
        <w:rPr>
          <w:rFonts w:ascii="Times New Roman" w:eastAsia="Times New Roman" w:hAnsi="Times New Roman" w:cs="Times New Roman"/>
          <w:sz w:val="28"/>
          <w:szCs w:val="28"/>
        </w:rPr>
        <w:t xml:space="preserve"> Cho phép cơ cấu tài chính linh hoạt hơn theo chương trình đào tạo chất lượng cao hoặc các dự án đặc thù.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sz w:val="28"/>
          <w:szCs w:val="28"/>
        </w:rPr>
        <w:t>Nhìn chung, việc trích lập Quỹ phát triển KH&amp;CN đã được nhiều trường thực hiện và mang lại những lợi ích nhất định. Tuy nhiên, để quỹ thực sự phát huy tối đa hiệu quả và trở thành nguồn động lực tài chính quan trọng cho KH&amp;CN trong CSGDĐH, cần có sự tháo gỡ kịp thời về cơ chế pháp lý và tài chính từ các cơ quan quản lý nhà nước.</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1.2.8. Kiện toàn tổ chức bộ máy và nâng cao năng lực đội ngũ</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Nghị định 109/2022/NĐ-CP đã tạo cơ sở để các cơ sở giáo dục đại học (CSGDĐH) kiện toàn bộ máy và nâng cao năng lực đội ngũ phục vụ hoạt động khoa học và công nghệ (KH&amp;CN).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Nhiều CSGDĐH đã thành lập hoặc kiện toàn các đơn vị chuyên trách về KH&amp;CN và đổi mới sáng tạo (ĐMST). Việc này nhằm tạo ra một cơ cấu tổ chức tinh gọn, chuyên nghiệp, đủ năng lực để tham mưu, quản lý và triển khai các hoạt động KH&amp;CN theo đúng định hướng của Nghị định. Các phòng, ban, trung tâm KH&amp;CN đã được củng cố về chức năng, nhiệm vụ, giúp hoạt động nghiên cứu được tổ chức bài bản hơn.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lastRenderedPageBreak/>
        <w:t xml:space="preserve">Về nâng cao năng lực đội ngũ, các trường đã chủ động tổ chức các buổi tập huấn, hội thảo chuyên đề nhằm nâng cao nhận thức, kiến thức và kỹ năng về NCKH, quản lý đề tài, công bố quốc tế, sở hữu trí tuệ (SHTT), và khởi nghiệp cho đội ngũ cán bộ, giảng viên. Một số trường đã có chính sách khuyến khích và hỗ trợ giảng viên tham gia đào tạo sau đại học, đặc biệt là nghiên cứu sinh trong và ngoài nước để nâng cao trình độ chuyên môn. Sự gia tăng về số lượng công bố quốc tế (ISI/Scopus) và số lượng đề tài nghiên cứu các cấp cũng phần nào phản ánh sự nâng cao về năng lực nghiên cứu của đội ngũ giảng viên.   </w:t>
      </w:r>
    </w:p>
    <w:p w:rsidR="00545D7B" w:rsidRPr="00C17E24"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rPr>
        <w:t>Tuy nhiên, bên cạnh những nỗ lực và kết quả đạt được, vẫn còn những thách thức đáng kể về nhân lực và cơ sở vật chất:</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545D7B" w:rsidRPr="00C17E24">
        <w:rPr>
          <w:rFonts w:ascii="Times New Roman" w:eastAsia="Times New Roman" w:hAnsi="Times New Roman" w:cs="Times New Roman"/>
          <w:bCs/>
          <w:sz w:val="28"/>
          <w:szCs w:val="28"/>
        </w:rPr>
        <w:t>Thiếu hụt nhân lực chuyên sâu và chuyên gia đầu ngành:</w:t>
      </w:r>
      <w:r w:rsidR="00545D7B" w:rsidRPr="00C17E24">
        <w:rPr>
          <w:rFonts w:ascii="Times New Roman" w:eastAsia="Times New Roman" w:hAnsi="Times New Roman" w:cs="Times New Roman"/>
          <w:sz w:val="28"/>
          <w:szCs w:val="28"/>
        </w:rPr>
        <w:t xml:space="preserve"> Đây là một trong những thách thức lớn nhất. Nhiều trường đang gặp khó khăn trong việc thu hút và giữ chân các nhà khoa học có học hàm, học vị cao, có kinh nghiệm và uy tín trong nghiên cứu (đặc biệt là những người đạt chuẩn H-index cao để hình thành nhóm nghiên cứu mạnh).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545D7B" w:rsidRPr="00C17E24">
        <w:rPr>
          <w:rFonts w:ascii="Times New Roman" w:eastAsia="Times New Roman" w:hAnsi="Times New Roman" w:cs="Times New Roman"/>
          <w:bCs/>
          <w:sz w:val="28"/>
          <w:szCs w:val="28"/>
        </w:rPr>
        <w:t>Hạn chế về tài chính và ngoại ngữ:</w:t>
      </w:r>
      <w:r w:rsidR="00545D7B" w:rsidRPr="00C17E24">
        <w:rPr>
          <w:rFonts w:ascii="Times New Roman" w:eastAsia="Times New Roman" w:hAnsi="Times New Roman" w:cs="Times New Roman"/>
          <w:sz w:val="28"/>
          <w:szCs w:val="28"/>
        </w:rPr>
        <w:t xml:space="preserve"> Hoạt động hội thảo, hợp tác quốc tế, và việc cử giảng viên đi học tập, nâng cao trình độ ở nước ngoài còn gặp nhiều hạn chế do nguồn tài chính eo hẹp và rào cản về năng lực ngoại ngữ của một bộ phận giảng viên. Điều này ảnh hưởng đến khả năng hội nhập quốc tế và tiếp cận các xu hướng nghiên cứu tiên tiến.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w:t>
      </w:r>
      <w:r w:rsidR="00545D7B" w:rsidRPr="00C17E24">
        <w:rPr>
          <w:rFonts w:ascii="Times New Roman" w:eastAsia="Times New Roman" w:hAnsi="Times New Roman" w:cs="Times New Roman"/>
          <w:bCs/>
          <w:sz w:val="28"/>
          <w:szCs w:val="28"/>
        </w:rPr>
        <w:t>Quá tải giảng dạy:</w:t>
      </w:r>
      <w:r w:rsidR="00545D7B" w:rsidRPr="00C17E24">
        <w:rPr>
          <w:rFonts w:ascii="Times New Roman" w:eastAsia="Times New Roman" w:hAnsi="Times New Roman" w:cs="Times New Roman"/>
          <w:sz w:val="28"/>
          <w:szCs w:val="28"/>
        </w:rPr>
        <w:t xml:space="preserve"> Ở nhiều trường, đặc biệt là các trường ngoài công lập hoặc các trường có quy mô lớn, tải giảng dạy của giảng viên vẫn còn khá nặng. Điều này khiến giảng viên thiếu thời gian dành cho hoạt động nghiên cứu chuyên sâu, tham gia các dự án lớn hoặc các hoạt động hợp tác quốc tế. Tải giảng dạy nặng nề trực tiếp làm giảm thời gian và năng lượng mà giảng viên có thể dành cho nghiên cứu, ảnh hưởng đến chất lượng và số lượng công trình khoa học.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Chưa có cơ chế đãi ngộ đủ hấp dẫn:</w:t>
      </w:r>
      <w:r w:rsidR="00545D7B" w:rsidRPr="00C17E24">
        <w:rPr>
          <w:rFonts w:ascii="Times New Roman" w:eastAsia="Times New Roman" w:hAnsi="Times New Roman" w:cs="Times New Roman"/>
          <w:sz w:val="28"/>
          <w:szCs w:val="28"/>
        </w:rPr>
        <w:t xml:space="preserve"> Các chính sách về lương, thưởng, phụ cấp nghiên cứu chưa đủ hấp dẫn để khuyến khích các giảng viên giỏi tập trung vào nghiên cứu hoặc thu hút các chuyên gia đầu ngành từ bên ngoài.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Thiếu nhân sự chuyên trách hỗ trợ:</w:t>
      </w:r>
      <w:r w:rsidR="00545D7B" w:rsidRPr="00C17E24">
        <w:rPr>
          <w:rFonts w:ascii="Times New Roman" w:eastAsia="Times New Roman" w:hAnsi="Times New Roman" w:cs="Times New Roman"/>
          <w:sz w:val="28"/>
          <w:szCs w:val="28"/>
        </w:rPr>
        <w:t xml:space="preserve"> Một số nơi thiếu nhân sự chuyên trách có năng lực về quản lý dự án KH&amp;CN, sở hữu trí tuệ, chuyển giao công nghệ, và kết nối doanh nghiệp, khiến các hoạt động này chưa thể phát huy tối đa hiệu quả.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sz w:val="28"/>
          <w:szCs w:val="28"/>
        </w:rPr>
        <w:t>Nhìn chung, để nâng cao hơn nữa năng lực đội ngũ và tổ chức bộ máy KH&amp;CN, các CSGDĐH cần tiếp tục nhận được sự hỗ trợ từ Nhà nước thông qua việc hoàn thiện các chính sách đãi ngộ, tăng cường nguồn kinh phí đầu tư cho nghiên cứu và đào tạo, cũng như tạo điều kiện</w:t>
      </w:r>
      <w:r w:rsidRPr="00F74AAB">
        <w:rPr>
          <w:rFonts w:ascii="Times New Roman" w:eastAsia="Times New Roman" w:hAnsi="Times New Roman" w:cs="Times New Roman"/>
          <w:sz w:val="28"/>
          <w:szCs w:val="28"/>
        </w:rPr>
        <w:t xml:space="preserve"> thuận lợi hơn cho hoạt động hợp tác quốc tế.</w:t>
      </w:r>
    </w:p>
    <w:p w:rsidR="00545D7B" w:rsidRPr="00F74AAB" w:rsidRDefault="00545D7B" w:rsidP="00516CA9">
      <w:pPr>
        <w:spacing w:before="80" w:after="0" w:line="240" w:lineRule="auto"/>
        <w:ind w:firstLine="720"/>
        <w:jc w:val="both"/>
        <w:outlineLvl w:val="1"/>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II. ĐÁNH GIÁ TỔNG THỂ VÀ NHỮNG TỒN TẠI, HẠN CHẾ TRONG QUÁ TRÌNH THỰC HIỆN</w:t>
      </w:r>
    </w:p>
    <w:p w:rsidR="00545D7B" w:rsidRPr="00F74AAB" w:rsidRDefault="00545D7B" w:rsidP="00516CA9">
      <w:pPr>
        <w:spacing w:before="80" w:after="0" w:line="240" w:lineRule="auto"/>
        <w:ind w:firstLine="720"/>
        <w:jc w:val="both"/>
        <w:outlineLvl w:val="2"/>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lastRenderedPageBreak/>
        <w:t>2.1. Những thuận lợi và tác động tích cực của Nghị định</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Nghị định 109/2022/NĐ-CP đã tạo một hành lang pháp lý quan trọng và cụ thể, định hình các hoạt động khoa học và công nghệ (KH&amp;CN) trong cơ sở giáo dục đại học (CSGDĐH). Nghị định đã nhận được sự hưởng ứng tích cực từ các trường đại học, và bước đầu đã được đưa vào chiến lược phát triển dài hạn của nhiều đơn vị.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Nghị định là cơ sở pháp lý cụ thể, rõ ràng, giúp các CSGDĐH có định hướng và cơ sở để triển khai các hoạt động KH&amp;CN một cách bài bản, chuyên nghiệp hơn. Sự rõ ràng này đã thúc đẩy các trường đại học chủ động phổ biến, quán triệt Nghị định, ban hành các văn bản nội bộ, rà soát và điều chỉnh quy chế, quy định phù hợp. Điều này cho thấy sự cam kết mạnh mẽ của các trường trong việc thực hiện mục tiêu phát triển KH&amp;CN, đồng thời phản ánh một sự chuyển đổi tích cực trong nhận thức về tầm quan trọng của KH&amp;CN đối với sự phát triển của chính các trường.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Một số CSGDĐH đã chủ động triển khai thí điểm các cơ chế mới như mô hình doanh nghiệp spin-off, hợp tác ba bên (Nhà nước - Trường - Doanh nghiệp), và ứng dụng cơ chế hậu kiểm trong hoạt động nghiên cứu. Những bước đi tiên phong này tạo ra các mô hình thực tiễn, cung cấp kinh nghiệm quý báu cho việc hoàn thiện chính sách, đồng thời chứng minh khả năng thích ứng và đổi mới của các trường đại học trong việc tìm kiếm các giải pháp sáng tạo để vượt qua những rào cản hiện hành.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t xml:space="preserve">Bảng 1: Tổng hợp </w:t>
      </w:r>
      <w:r w:rsidR="00516CA9">
        <w:rPr>
          <w:rFonts w:ascii="Times New Roman" w:eastAsia="Times New Roman" w:hAnsi="Times New Roman" w:cs="Times New Roman"/>
          <w:b/>
          <w:bCs/>
          <w:sz w:val="28"/>
          <w:szCs w:val="28"/>
          <w:lang w:val="vi-VN"/>
        </w:rPr>
        <w:t>k</w:t>
      </w:r>
      <w:r w:rsidRPr="00F74AAB">
        <w:rPr>
          <w:rFonts w:ascii="Times New Roman" w:eastAsia="Times New Roman" w:hAnsi="Times New Roman" w:cs="Times New Roman"/>
          <w:b/>
          <w:bCs/>
          <w:sz w:val="28"/>
          <w:szCs w:val="28"/>
        </w:rPr>
        <w:t xml:space="preserve">ết quả </w:t>
      </w:r>
      <w:r w:rsidR="00516CA9">
        <w:rPr>
          <w:rFonts w:ascii="Times New Roman" w:eastAsia="Times New Roman" w:hAnsi="Times New Roman" w:cs="Times New Roman"/>
          <w:b/>
          <w:bCs/>
          <w:sz w:val="28"/>
          <w:szCs w:val="28"/>
          <w:lang w:val="vi-VN"/>
        </w:rPr>
        <w:t>n</w:t>
      </w:r>
      <w:r w:rsidRPr="00F74AAB">
        <w:rPr>
          <w:rFonts w:ascii="Times New Roman" w:eastAsia="Times New Roman" w:hAnsi="Times New Roman" w:cs="Times New Roman"/>
          <w:b/>
          <w:bCs/>
          <w:sz w:val="28"/>
          <w:szCs w:val="28"/>
        </w:rPr>
        <w:t xml:space="preserve">ổi bật trong </w:t>
      </w:r>
      <w:r w:rsidR="00516CA9">
        <w:rPr>
          <w:rFonts w:ascii="Times New Roman" w:eastAsia="Times New Roman" w:hAnsi="Times New Roman" w:cs="Times New Roman"/>
          <w:b/>
          <w:bCs/>
          <w:sz w:val="28"/>
          <w:szCs w:val="28"/>
          <w:lang w:val="vi-VN"/>
        </w:rPr>
        <w:t>t</w:t>
      </w:r>
      <w:r w:rsidRPr="00F74AAB">
        <w:rPr>
          <w:rFonts w:ascii="Times New Roman" w:eastAsia="Times New Roman" w:hAnsi="Times New Roman" w:cs="Times New Roman"/>
          <w:b/>
          <w:bCs/>
          <w:sz w:val="28"/>
          <w:szCs w:val="28"/>
        </w:rPr>
        <w:t>riển khai Nghị định 109/2022/NĐ-CP</w:t>
      </w:r>
    </w:p>
    <w:tbl>
      <w:tblPr>
        <w:tblStyle w:val="TableGrid"/>
        <w:tblW w:w="0" w:type="auto"/>
        <w:tblLook w:val="04A0" w:firstRow="1" w:lastRow="0" w:firstColumn="1" w:lastColumn="0" w:noHBand="0" w:noVBand="1"/>
      </w:tblPr>
      <w:tblGrid>
        <w:gridCol w:w="2263"/>
        <w:gridCol w:w="7087"/>
      </w:tblGrid>
      <w:tr w:rsidR="00F74AAB" w:rsidRPr="00F74AAB" w:rsidTr="0038200B">
        <w:tc>
          <w:tcPr>
            <w:tcW w:w="2263" w:type="dxa"/>
            <w:vAlign w:val="center"/>
          </w:tcPr>
          <w:p w:rsidR="00F74AAB" w:rsidRPr="00F74AAB" w:rsidRDefault="0038200B" w:rsidP="0038200B">
            <w:pPr>
              <w:spacing w:before="8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00F74AAB" w:rsidRPr="00F74AAB">
              <w:rPr>
                <w:rFonts w:ascii="Times New Roman" w:eastAsia="Times New Roman" w:hAnsi="Times New Roman" w:cs="Times New Roman"/>
                <w:b/>
                <w:sz w:val="28"/>
                <w:szCs w:val="28"/>
              </w:rPr>
              <w:t xml:space="preserve">Lĩnh vực </w:t>
            </w:r>
            <w:r>
              <w:rPr>
                <w:rFonts w:ascii="Times New Roman" w:eastAsia="Times New Roman" w:hAnsi="Times New Roman" w:cs="Times New Roman"/>
                <w:b/>
                <w:sz w:val="28"/>
                <w:szCs w:val="28"/>
                <w:lang w:val="vi-VN"/>
              </w:rPr>
              <w:t>h</w:t>
            </w:r>
            <w:r w:rsidR="00F74AAB" w:rsidRPr="00F74AAB">
              <w:rPr>
                <w:rFonts w:ascii="Times New Roman" w:eastAsia="Times New Roman" w:hAnsi="Times New Roman" w:cs="Times New Roman"/>
                <w:b/>
                <w:sz w:val="28"/>
                <w:szCs w:val="28"/>
              </w:rPr>
              <w:t>oạt động</w:t>
            </w:r>
          </w:p>
        </w:tc>
        <w:tc>
          <w:tcPr>
            <w:tcW w:w="7087" w:type="dxa"/>
            <w:vAlign w:val="center"/>
          </w:tcPr>
          <w:p w:rsidR="00F74AAB" w:rsidRPr="00F74AAB" w:rsidRDefault="00F74AAB" w:rsidP="00516CA9">
            <w:pPr>
              <w:spacing w:before="80"/>
              <w:ind w:firstLine="720"/>
              <w:jc w:val="center"/>
              <w:rPr>
                <w:rFonts w:ascii="Times New Roman" w:eastAsia="Times New Roman" w:hAnsi="Times New Roman" w:cs="Times New Roman"/>
                <w:b/>
                <w:sz w:val="28"/>
                <w:szCs w:val="28"/>
              </w:rPr>
            </w:pPr>
            <w:r w:rsidRPr="00F74AAB">
              <w:rPr>
                <w:rFonts w:ascii="Times New Roman" w:eastAsia="Times New Roman" w:hAnsi="Times New Roman" w:cs="Times New Roman"/>
                <w:b/>
                <w:sz w:val="28"/>
                <w:szCs w:val="28"/>
              </w:rPr>
              <w:t xml:space="preserve">Kết quả </w:t>
            </w:r>
            <w:r w:rsidR="0038200B">
              <w:rPr>
                <w:rFonts w:ascii="Times New Roman" w:eastAsia="Times New Roman" w:hAnsi="Times New Roman" w:cs="Times New Roman"/>
                <w:b/>
                <w:sz w:val="28"/>
                <w:szCs w:val="28"/>
                <w:lang w:val="vi-VN"/>
              </w:rPr>
              <w:t>n</w:t>
            </w:r>
            <w:r w:rsidRPr="00F74AAB">
              <w:rPr>
                <w:rFonts w:ascii="Times New Roman" w:eastAsia="Times New Roman" w:hAnsi="Times New Roman" w:cs="Times New Roman"/>
                <w:b/>
                <w:sz w:val="28"/>
                <w:szCs w:val="28"/>
              </w:rPr>
              <w:t>ổi bật</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Công tác triển khai</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Hầu hết các trường chủ động ban hành văn bản nội bộ, lồng ghép Nghị định vào chiến lược KH&amp;CN dài hạn. Kiện toàn tổ chức bộ máy KH&amp;CN và ĐMST.</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Nghiên cứu khoa học và công bố</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Tỷ lệ giảng viên tham gia NCKH trên 90% tại nhiều trường. Hàng nghìn đề tài cấp cơ sở, hàng trăm đề tài cấp Bộ/Nhà nước. Gia tăng mạnh mẽ số lượng công bố quốc tế (ISI/Scopus) từ vài trăm đến hơn 600 bài/năm.</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Nhóm nghiên cứu</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Tích cực hình thành NNC/NCM, ban hành quy định nội bộ, tổ chức xét chọn định kỳ. Một số trường phân loại cấp độ nhóm (tiềm năng, tiệm cận mạnh, mạnh).</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Sở hữu trí tuệ và chuyển giao công nghệ</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Gia tăng số lượng đơn đăng ký sáng chế, giải pháp hữu ích, nhãn hiệu. Bước đầu chuyển giao và ứng dụng kết quả nghiên cứu vào thực tiễn địa phương/doanh nghiệp.</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lastRenderedPageBreak/>
              <w:t>Khởi nghiệp và ĐMST</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Hình thành các trung tâm/không gian hỗ trợ khởi nghiệp (coworking space, khu ươm tạo). Tổ chức nhiều cuộc thi, hội thảo khởi nghiệp; nhiều dự án đạt giải và gọi vốn thành công.</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Hợp tác với doanh nghiệp/địa phương</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Tăng cường ký kết MOU/hợp đồng hợp tác nghiên cứu, đào tạo. Nhận đặt hàng nghiên cứu ứng dụng từ doanh nghiệp. Gắn kết đào tạo với nhu cầu thị trường.</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Liêm chính học thuật</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Hầu hết các trường áp dụng phần mềm kiểm tra đạo văn (Turnitin). Tổ chức tập huấn định kỳ về đạo đức nghiên cứu. Một số trường thành lập hội đồng đạo đức nghiên cứu.</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Quản lý Quỹ KH&amp;CN</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Nhiều trường chủ động trích lập Quỹ phát triển KH&amp;CN từ học phí (tối thiểu 5%) và các nguồn thu hợp pháp khác. Quỹ được sử dụng đa dạng cho các hoạt động nghiên cứu.</w:t>
            </w:r>
          </w:p>
        </w:tc>
      </w:tr>
      <w:tr w:rsidR="00F74AAB" w:rsidRPr="00F74AAB" w:rsidTr="0038200B">
        <w:tc>
          <w:tcPr>
            <w:tcW w:w="2263" w:type="dxa"/>
            <w:vAlign w:val="center"/>
          </w:tcPr>
          <w:p w:rsidR="00F74AAB" w:rsidRPr="00516CA9" w:rsidRDefault="00F74AAB" w:rsidP="00C17E24">
            <w:pPr>
              <w:spacing w:before="8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rPr>
              <w:t>Tổ chức bộ máy và năng lực đội ngũ</w:t>
            </w:r>
          </w:p>
        </w:tc>
        <w:tc>
          <w:tcPr>
            <w:tcW w:w="708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Kiện toàn các đơn vị chuyên trách KH&amp;CN. Tổ chức tập huấn nâng cao nhận thức, kiến thức, kỹ năng NCKH cho cán bộ, giảng viên.</w:t>
            </w:r>
          </w:p>
        </w:tc>
      </w:tr>
    </w:tbl>
    <w:p w:rsidR="00545D7B" w:rsidRPr="00C17E24" w:rsidRDefault="00C17E24" w:rsidP="00C17E24">
      <w:pPr>
        <w:spacing w:before="80" w:after="0"/>
      </w:pPr>
      <w:r>
        <w:rPr>
          <w:lang w:val="vi-VN"/>
        </w:rPr>
        <w:t xml:space="preserve">              </w:t>
      </w:r>
      <w:r w:rsidR="00545D7B" w:rsidRPr="00F74AAB">
        <w:rPr>
          <w:rFonts w:ascii="Times New Roman" w:eastAsia="Times New Roman" w:hAnsi="Times New Roman" w:cs="Times New Roman"/>
          <w:b/>
          <w:bCs/>
          <w:sz w:val="28"/>
          <w:szCs w:val="28"/>
        </w:rPr>
        <w:t xml:space="preserve">2.2. Những khó khăn, tồn tại và nguyên nhân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Mặc dù có những thuận lợi và kết quả bước đầu đáng khích lệ, việc triển khai Nghị định 109/2022/NĐ-CP vẫn đối mặt với nhiều khó khăn, tồn tại. Những thách thức này chủ yếu xuất phát từ sự chưa đồng bộ của các văn bản pháp luật liên quan, hạn chế về nguồn lực, và những thách thức nội tại của hệ thống giáo dục đại học.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2.2.1. Vướng mắc về tiêu chí nhóm nghiên cứu mạnh và đặc thù ngành</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Một trong những rào cản lớn nhất là các tiêu chí đánh giá và công nhận nhóm nghiên cứu mạnh (NCM) còn quá cao và chưa thực sự phù hợp với đặc thù của nhiều ngành khoa học, đặc biệt là khối khoa học xã hội và nhân văn, y tế, và giáo dục. Yêu cầu về bằng độc quyền sáng chế hoặc sản phẩm thương mại hóa là một thách thức đáng kể, bởi lẽ trong các ngành như y học, phương pháp chẩn đoán và điều trị thường không được bảo hộ dưới dạng sáng chế theo Luật SHTT. Tương tự, các ngành khoa học xã hội và nhân văn thường tập trung vào các công trình nghiên cứu lý luận, chính sách, hoặc các giải pháp xã hội, không dễ dàng quy đổi thành sản phẩm thương mại hóa cụ thể. Hơn nữa, chuẩn H-index (từ 10 trở lên với trưởng nhóm, từ 5 trở lên với thành viên chủ chốt) cũng được nhiều trường đánh giá là cao so với mặt bằng chung và khó đạt được ở nhiều lĩnh vực.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Sự không phù hợp này dẫn đến việc nhiều nhóm nghiên cứu có tiềm năng, hoạt động hiệu quả trong lĩnh vực của mình nhưng lại không thể đạt chuẩn NCM theo quy định hiện hành. Điều này không chỉ gây ra sự nản lòng mà còn có thể làm mất đi động lực phát triển của các nhóm này, làm chậm quá trình hình thành các tập thể nghiên cứu chuyên sâu, đa ngành, và có khả năng hội nhập quốc tế. Nguyên nhân </w:t>
      </w:r>
      <w:r w:rsidRPr="00F74AAB">
        <w:rPr>
          <w:rFonts w:ascii="Times New Roman" w:eastAsia="Times New Roman" w:hAnsi="Times New Roman" w:cs="Times New Roman"/>
          <w:sz w:val="28"/>
          <w:szCs w:val="28"/>
        </w:rPr>
        <w:lastRenderedPageBreak/>
        <w:t>sâu xa nằm ở việc các tiêu chí được xây dựng có thể chưa tính đến đầy đủ sự đa dạng về bản chất và sản phẩm đầu ra của các lĩnh vực khoa học khác nhau, dẫn đến một "khuôn mẫu" cứng nhắc không phù hợp với thực tiễn.</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2.2.2. Hạn chế về cơ chế tài chính, quản lý quỹ và quy trình mua sắm</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Mặc dù Nghị định 109/2022/NĐ-CP đã cho phép các CSGDĐH chủ động trích lập Quỹ phát triển KH&amp;CN từ học phí và các nguồn thu hợp pháp khác, nhưng cơ chế tài chính liên quan vẫn còn rườm rà và thiếu linh hoạt. Rào cản lớn nhất là việc thiếu các văn bản hướng dẫn cụ thể từ cấp trên về cách thức vận hành, xét duyệt, tiêu chí phân bổ kinh phí, và điều kiện chi tiêu của Quỹ. Điều này khiến nhiều trường e ngại hoặc chưa dám mạnh dạn triển khai các hoạt động liên quan đến quỹ, làm giảm hiệu quả sử dụng nguồn lực đã trích lập.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Bên cạnh đó, quy trình đấu thầu, mua sắm trang thiết bị nghiên cứu vẫn phức tạp, rườm rà và kéo dài. Điều này gây khó khăn cho các nhà khoa học trong việc tiếp cận kịp thời các thiết bị, vật tư cần thiết cho nghiên cứu, đặc biệt là các thiết bị công nghệ cao hoặc các vật tư chuyên dụng có yêu cầu đặc thù. Quá trình thanh quyết toán cũng phức tạp, tốn nhiều thời gian và công sức của các nhà khoa học, thay vì tập trung vào chuyên môn. Những vướng mắc này tạo ra một gánh nặng hành chính, làm chậm tiến độ nghiên cứu và có thể khiến các nhóm nghiên cứu ngần ngại đăng ký các đề tài có kinh phí lớn hoặc đòi hỏi trang thiết bị hiện đại. Nguyên nhân chính là do các quy định quản lý tài chính công hiện hành còn mang tính cứng nhắc, chưa thực sự phù hợp với đặc thù của hoạt động nghiên cứu khoa học, vốn đòi hỏi sự linh hoạt và nhanh nhạy.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2.2.3. Rào cản pháp lý trong sở hữu trí tuệ và xử lý tài sản công</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Hoạt động sở hữu trí tuệ (SHTT) và thương mại hóa kết quả nghiên cứu vẫn gặp nhiều vướng mắc, chủ yếu liên quan đến quy định về tài sản công. Luật Tài sản công và các văn bản pháp lý hiện hành còn nhiều bất cập, gây khó khăn trong việc định giá tài sản SHTT hình thành từ ngân sách nhà nước, cũng như quy trình khai thác và chuyển giao cho doanh nghiệp. Điều này dẫn đến tình trạng nhiều kết quả nghiên cứu có tiềm năng nhưng không thể thương mại hóa hiệu quả.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Ngoài ra, việc xác lập và chia sẻ quyền SHTT giữa trường, giảng viên, nhóm nghiên cứu và doanh nghiệp chuyển giao vẫn thiếu thống nhất, tạo ra tâm lý e ngại đăng ký bảo hộ hoặc thương mại hóa do lo ngại về quyền lợi và trách nhiệm không rõ ràng. Nhiều trường cũng thiếu hướng dẫn cụ thể trong việc xử lý tài sản công và định giá sản phẩm nghiên cứu phục vụ thương mại hóa. Những rào cản pháp lý này làm giảm động lực cho các nhà khoa học trong việc công bố và thương mại hóa các phát minh, sáng chế, bởi họ không thấy rõ được lợi ích và quy trình thực hiện. Nguyên nhân gốc rễ là sự thiếu đồng bộ và rõ ràng trong hệ thống pháp luật liên </w:t>
      </w:r>
      <w:r w:rsidRPr="00F74AAB">
        <w:rPr>
          <w:rFonts w:ascii="Times New Roman" w:eastAsia="Times New Roman" w:hAnsi="Times New Roman" w:cs="Times New Roman"/>
          <w:sz w:val="28"/>
          <w:szCs w:val="28"/>
        </w:rPr>
        <w:lastRenderedPageBreak/>
        <w:t xml:space="preserve">quan đến SHTT và quản lý tài sản công, chưa theo kịp với tốc độ phát triển của hoạt động nghiên cứu và đổi mới sáng tạo.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2.2.4. Thiếu khung pháp lý và cơ chế ưu đãi cho doanh nghiệp spin-off/start-up</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Hoạt động khởi nghiệp và đổi mới sáng tạo, đặc biệt là việc hình thành các doanh nghiệp spin-off/start-up từ kết quả nghiên cứu trong CSGDĐH, vẫn còn nhiều rào cản do thiếu khung pháp lý rõ ràng và cơ chế tài chính đặc thù. Hiện chưa có quy định cụ thể về tiêu chí, quyền – nghĩa vụ, cơ chế ưu đãi về thuế, vốn mồi, và việc sử dụng hạ tầng trường đại học cho các DNKH&amp;CN hình thành từ kết quả nghiên cứu của trường.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Vướng mắc về cơ chế góp vốn, các quy định pháp lý và vấn đề sử dụng tài sản công cũng là những điểm nghẽn lớn. Việc thiếu quy định cụ thể về cơ chế chia sẻ lợi ích, hỗ trợ tài chính, hạ tầng và pháp lý trong xây dựng vườn ươm khởi nghiệp tại trường cũng là một thách thức. Sự thiếu hụt này làm giảm đáng kể khả năng các ý tưởng nghiên cứu có tiềm năng thương mại được phát triển thành các doanh nghiệp thực tế. Các nhà khoa học và sinh viên, dù có ý tưởng tốt, nhưng lại gặp khó khăn trong việc biến chúng thành hiện thực do thiếu một hành lang pháp lý và cơ chế hỗ trợ rõ ràng. Nguyên nhân là do các quy định hiện hành chưa được thiết kế để khuyến khích và tạo điều kiện thuận lợi cho các mô hình kinh doanh dựa trên tri thức từ môi trường học thuật.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2.2.5. Hạn chế trong chiều sâu hợp tác với doanh nghiệp và địa phương</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Hoạt động hợp tác giữa CSGDĐH và doanh nghiệp/địa phương mặc dù đã được đẩy mạnh nhưng vẫn chưa đạt được chiều sâu như kỳ vọng. Hoạt động hợp tác chủ yếu dừng lại ở việc ký kết văn bản, tham gia hội chợ việc làm, hoặc các dự án nhỏ lẻ. Sự kết nối giữa trường và doanh nghiệp còn yếu, thiếu các đơn đặt hàng nghiên cứu cụ thể, quy mô lớn và dài hạn từ doanh nghiệp. Hoạt động chuyển giao công nghệ còn hạn chế, chủ yếu tập trung ở một số lĩnh vực hoặc chưa mở rộng quy mô.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Sự khác biệt về văn hóa giữa môi trường học thuật (nghiên cứu cơ bản, dài hạn) và môi trường doanh nghiệp (ứng dụng, ngắn hạn, hiệu quả kinh tế tức thì) vẫn có sự khác biệt, gây khó khăn trong việc tìm tiếng nói chung. Ngoài ra, còn thiếu cơ chế chia sẻ lợi ích rõ ràng và thiếu cơ chế pháp lý rõ ràng trong chia sẻ quyền SHTT. Kinh phí KH&amp;CN chủ yếu đến từ học phí trích lập hoặc ngân sách nhà nước, nguồn tài trợ từ doanh nghiệp tuy có tăng nhưng chưa ổn định và đủ lớn. Một số trường còn thiếu nhân sự chuyên trách có năng lực và kinh nghiệm để xúc tiến, quản lý các dự án hợp tác với doanh nghiệp. Khó khăn trong liên kết với doanh nghiệp nhỏ, địa phương chưa có khả năng hấp thụ công nghệ cao cũng là một yếu tố. Những yếu tố này tạo ra một rào cản kép: vừa thiếu cơ chế chính sách rõ ràng, vừa thiếu nguồn lực </w:t>
      </w:r>
      <w:r w:rsidRPr="00F74AAB">
        <w:rPr>
          <w:rFonts w:ascii="Times New Roman" w:eastAsia="Times New Roman" w:hAnsi="Times New Roman" w:cs="Times New Roman"/>
          <w:sz w:val="28"/>
          <w:szCs w:val="28"/>
        </w:rPr>
        <w:lastRenderedPageBreak/>
        <w:t xml:space="preserve">và sự hiểu biết lẫn nhau, khiến cho mối quan hệ hợp tác chưa thể phát triển bền vững và mang lại hiệu quả kinh tế cao.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2.2.6. Thách thức về nguồn nhân lực chất lượng cao và cơ sở vật chất</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Thiếu hụt nhân lực chuyên sâu và chuyên gia đầu ngành là một trong những thách thức lớn nhất. Nhiều trường đang gặp khó khăn trong việc thu hút và giữ chân các nhà khoa học có học hàm, học vị cao, có kinh nghiệm và uy tín trong nghiên cứu, đặc biệt là những người đạt chuẩn H-index cao để hình thành nhóm nghiên cứu mạnh. Đồng thời, tải giảng dạy nặng nề ở nhiều trường, đặc biệt là các trường ngoài công lập hoặc các trường có quy mô lớn, khiến giảng viên thiếu thời gian dành cho hoạt động nghiên cứu chuyên sâu, tham gia các dự án lớn hoặc các hoạt động hợp tác quốc tế.   </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Hạn chế về tài chính và năng lực ngoại ngữ cũng là những yếu tố cản trở hoạt động hội thảo, hợp tác quốc tế, và việc cử giảng viên đi học tập, nâng cao trình độ ở nước ngoài. Điều này ảnh hưởng đến khả năng hội nhập quốc tế và tiếp cận các xu hướng nghiên cứu tiên tiến. Các chính sách về lương, thưởng, phụ cấp nghiên cứu chưa đủ hấp dẫn để khuyến khích các giảng viên giỏi tập trung vào nghiên cứu hoặc thu hút các chuyên gia đầu ngành từ bên ngoài. Một số nơi thiếu nhân sự chuyên trách có năng lực về quản lý dự án KH&amp;CN, sở hữu trí tuệ, chuyển giao công nghệ, và kết nối doanh nghiệp, khiến các hoạt động này chưa thể phát huy tối đa hiệu quả. Sự thiếu hụt về nhân lực chất lượng cao, cùng với các chính sách đãi ngộ chưa đủ hấp dẫn và gánh nặng giảng dạy, tạo thành một vòng lặp tiêu cực, cản trở sự phát triển của năng lực nghiên cứu và đổi mới sáng tạo trong các CSGDĐH.   </w:t>
      </w:r>
    </w:p>
    <w:p w:rsidR="00F74AA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t xml:space="preserve">Bảng 2: Các </w:t>
      </w:r>
      <w:r w:rsidR="00516CA9">
        <w:rPr>
          <w:rFonts w:ascii="Times New Roman" w:eastAsia="Times New Roman" w:hAnsi="Times New Roman" w:cs="Times New Roman"/>
          <w:b/>
          <w:bCs/>
          <w:sz w:val="28"/>
          <w:szCs w:val="28"/>
          <w:lang w:val="vi-VN"/>
        </w:rPr>
        <w:t>k</w:t>
      </w:r>
      <w:r w:rsidRPr="00F74AAB">
        <w:rPr>
          <w:rFonts w:ascii="Times New Roman" w:eastAsia="Times New Roman" w:hAnsi="Times New Roman" w:cs="Times New Roman"/>
          <w:b/>
          <w:bCs/>
          <w:sz w:val="28"/>
          <w:szCs w:val="28"/>
        </w:rPr>
        <w:t xml:space="preserve">hó khăn và </w:t>
      </w:r>
      <w:r w:rsidR="00516CA9">
        <w:rPr>
          <w:rFonts w:ascii="Times New Roman" w:eastAsia="Times New Roman" w:hAnsi="Times New Roman" w:cs="Times New Roman"/>
          <w:b/>
          <w:bCs/>
          <w:sz w:val="28"/>
          <w:szCs w:val="28"/>
          <w:lang w:val="vi-VN"/>
        </w:rPr>
        <w:t>h</w:t>
      </w:r>
      <w:r w:rsidRPr="00F74AAB">
        <w:rPr>
          <w:rFonts w:ascii="Times New Roman" w:eastAsia="Times New Roman" w:hAnsi="Times New Roman" w:cs="Times New Roman"/>
          <w:b/>
          <w:bCs/>
          <w:sz w:val="28"/>
          <w:szCs w:val="28"/>
        </w:rPr>
        <w:t xml:space="preserve">ạn chế </w:t>
      </w:r>
      <w:r w:rsidR="00516CA9">
        <w:rPr>
          <w:rFonts w:ascii="Times New Roman" w:eastAsia="Times New Roman" w:hAnsi="Times New Roman" w:cs="Times New Roman"/>
          <w:b/>
          <w:bCs/>
          <w:sz w:val="28"/>
          <w:szCs w:val="28"/>
          <w:lang w:val="vi-VN"/>
        </w:rPr>
        <w:t>c</w:t>
      </w:r>
      <w:r w:rsidRPr="00F74AAB">
        <w:rPr>
          <w:rFonts w:ascii="Times New Roman" w:eastAsia="Times New Roman" w:hAnsi="Times New Roman" w:cs="Times New Roman"/>
          <w:b/>
          <w:bCs/>
          <w:sz w:val="28"/>
          <w:szCs w:val="28"/>
        </w:rPr>
        <w:t xml:space="preserve">hính trong </w:t>
      </w:r>
      <w:r w:rsidR="00516CA9">
        <w:rPr>
          <w:rFonts w:ascii="Times New Roman" w:eastAsia="Times New Roman" w:hAnsi="Times New Roman" w:cs="Times New Roman"/>
          <w:b/>
          <w:bCs/>
          <w:sz w:val="28"/>
          <w:szCs w:val="28"/>
          <w:lang w:val="vi-VN"/>
        </w:rPr>
        <w:t>t</w:t>
      </w:r>
      <w:r w:rsidRPr="00F74AAB">
        <w:rPr>
          <w:rFonts w:ascii="Times New Roman" w:eastAsia="Times New Roman" w:hAnsi="Times New Roman" w:cs="Times New Roman"/>
          <w:b/>
          <w:bCs/>
          <w:sz w:val="28"/>
          <w:szCs w:val="28"/>
        </w:rPr>
        <w:t>hực hiện Nghị định 109/2022/NĐ-CP</w:t>
      </w:r>
    </w:p>
    <w:tbl>
      <w:tblPr>
        <w:tblStyle w:val="TableGrid"/>
        <w:tblW w:w="0" w:type="auto"/>
        <w:tblLook w:val="04A0" w:firstRow="1" w:lastRow="0" w:firstColumn="1" w:lastColumn="0" w:noHBand="0" w:noVBand="1"/>
      </w:tblPr>
      <w:tblGrid>
        <w:gridCol w:w="1980"/>
        <w:gridCol w:w="4253"/>
        <w:gridCol w:w="3117"/>
      </w:tblGrid>
      <w:tr w:rsidR="00F74AAB" w:rsidTr="00F74AAB">
        <w:tc>
          <w:tcPr>
            <w:tcW w:w="1980" w:type="dxa"/>
            <w:vAlign w:val="center"/>
          </w:tcPr>
          <w:p w:rsidR="00F74AAB" w:rsidRPr="00C17E24" w:rsidRDefault="00F74AAB" w:rsidP="0038200B">
            <w:pPr>
              <w:spacing w:before="80"/>
              <w:rPr>
                <w:rFonts w:ascii="Times New Roman" w:eastAsia="Times New Roman" w:hAnsi="Times New Roman" w:cs="Times New Roman"/>
                <w:b/>
                <w:sz w:val="28"/>
                <w:szCs w:val="28"/>
              </w:rPr>
            </w:pPr>
            <w:r w:rsidRPr="00C17E24">
              <w:rPr>
                <w:rFonts w:ascii="Times New Roman" w:eastAsia="Times New Roman" w:hAnsi="Times New Roman" w:cs="Times New Roman"/>
                <w:b/>
                <w:sz w:val="28"/>
                <w:szCs w:val="28"/>
              </w:rPr>
              <w:t>Lĩnh vực</w:t>
            </w:r>
          </w:p>
        </w:tc>
        <w:tc>
          <w:tcPr>
            <w:tcW w:w="4253" w:type="dxa"/>
            <w:vAlign w:val="center"/>
          </w:tcPr>
          <w:p w:rsidR="00F74AAB" w:rsidRPr="00C17E24" w:rsidRDefault="00F74AAB" w:rsidP="00C17E24">
            <w:pPr>
              <w:spacing w:before="80"/>
              <w:ind w:firstLine="720"/>
              <w:jc w:val="center"/>
              <w:rPr>
                <w:rFonts w:ascii="Times New Roman" w:eastAsia="Times New Roman" w:hAnsi="Times New Roman" w:cs="Times New Roman"/>
                <w:b/>
                <w:sz w:val="28"/>
                <w:szCs w:val="28"/>
              </w:rPr>
            </w:pPr>
            <w:r w:rsidRPr="00C17E24">
              <w:rPr>
                <w:rFonts w:ascii="Times New Roman" w:eastAsia="Times New Roman" w:hAnsi="Times New Roman" w:cs="Times New Roman"/>
                <w:b/>
                <w:sz w:val="28"/>
                <w:szCs w:val="28"/>
              </w:rPr>
              <w:t>Khó khăn/Hạn chế Chính</w:t>
            </w:r>
          </w:p>
        </w:tc>
        <w:tc>
          <w:tcPr>
            <w:tcW w:w="3117" w:type="dxa"/>
            <w:vAlign w:val="center"/>
          </w:tcPr>
          <w:p w:rsidR="00F74AAB" w:rsidRPr="00C17E24" w:rsidRDefault="00F74AAB" w:rsidP="0038200B">
            <w:pPr>
              <w:spacing w:before="80"/>
              <w:rPr>
                <w:rFonts w:ascii="Times New Roman" w:eastAsia="Times New Roman" w:hAnsi="Times New Roman" w:cs="Times New Roman"/>
                <w:b/>
                <w:sz w:val="28"/>
                <w:szCs w:val="28"/>
              </w:rPr>
            </w:pPr>
            <w:r w:rsidRPr="00C17E24">
              <w:rPr>
                <w:rFonts w:ascii="Times New Roman" w:eastAsia="Times New Roman" w:hAnsi="Times New Roman" w:cs="Times New Roman"/>
                <w:b/>
                <w:sz w:val="28"/>
                <w:szCs w:val="28"/>
              </w:rPr>
              <w:t>Nguyên nhân/Tác động</w:t>
            </w:r>
          </w:p>
        </w:tc>
      </w:tr>
      <w:tr w:rsidR="00F74AAB" w:rsidTr="00F74AAB">
        <w:tc>
          <w:tcPr>
            <w:tcW w:w="1980"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Cs/>
                <w:sz w:val="28"/>
                <w:szCs w:val="28"/>
              </w:rPr>
              <w:t xml:space="preserve">Nhóm </w:t>
            </w:r>
            <w:r w:rsidR="00567F61">
              <w:rPr>
                <w:rFonts w:ascii="Times New Roman" w:eastAsia="Times New Roman" w:hAnsi="Times New Roman" w:cs="Times New Roman"/>
                <w:bCs/>
                <w:sz w:val="28"/>
                <w:szCs w:val="28"/>
              </w:rPr>
              <w:t>n</w:t>
            </w:r>
            <w:r w:rsidRPr="00F74AAB">
              <w:rPr>
                <w:rFonts w:ascii="Times New Roman" w:eastAsia="Times New Roman" w:hAnsi="Times New Roman" w:cs="Times New Roman"/>
                <w:bCs/>
                <w:sz w:val="28"/>
                <w:szCs w:val="28"/>
              </w:rPr>
              <w:t xml:space="preserve">ghiên cứu </w:t>
            </w:r>
            <w:r w:rsidR="00567F61">
              <w:rPr>
                <w:rFonts w:ascii="Times New Roman" w:eastAsia="Times New Roman" w:hAnsi="Times New Roman" w:cs="Times New Roman"/>
                <w:bCs/>
                <w:sz w:val="28"/>
                <w:szCs w:val="28"/>
              </w:rPr>
              <w:t>m</w:t>
            </w:r>
            <w:r w:rsidRPr="00F74AAB">
              <w:rPr>
                <w:rFonts w:ascii="Times New Roman" w:eastAsia="Times New Roman" w:hAnsi="Times New Roman" w:cs="Times New Roman"/>
                <w:bCs/>
                <w:sz w:val="28"/>
                <w:szCs w:val="28"/>
              </w:rPr>
              <w:t>ạnh (NCM)</w:t>
            </w:r>
          </w:p>
        </w:tc>
        <w:tc>
          <w:tcPr>
            <w:tcW w:w="4253"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Tiêu chí cao, chưa phù hợp đặc thù ngành (H-index, sáng chế cho KHXH&amp;NV, Y học).</w:t>
            </w:r>
          </w:p>
        </w:tc>
        <w:tc>
          <w:tcPr>
            <w:tcW w:w="311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Gây khó khăn cho nhiều nhóm tiềm năng, giảm động lực.</w:t>
            </w:r>
          </w:p>
        </w:tc>
      </w:tr>
      <w:tr w:rsidR="00F74AAB" w:rsidTr="00F74AAB">
        <w:tc>
          <w:tcPr>
            <w:tcW w:w="1980"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Cs/>
                <w:sz w:val="28"/>
                <w:szCs w:val="28"/>
              </w:rPr>
              <w:t xml:space="preserve">Cơ chế </w:t>
            </w:r>
            <w:r w:rsidR="00567F61">
              <w:rPr>
                <w:rFonts w:ascii="Times New Roman" w:eastAsia="Times New Roman" w:hAnsi="Times New Roman" w:cs="Times New Roman"/>
                <w:bCs/>
                <w:sz w:val="28"/>
                <w:szCs w:val="28"/>
              </w:rPr>
              <w:t>t</w:t>
            </w:r>
            <w:r w:rsidRPr="00F74AAB">
              <w:rPr>
                <w:rFonts w:ascii="Times New Roman" w:eastAsia="Times New Roman" w:hAnsi="Times New Roman" w:cs="Times New Roman"/>
                <w:bCs/>
                <w:sz w:val="28"/>
                <w:szCs w:val="28"/>
              </w:rPr>
              <w:t>ài chính KH&amp;CN</w:t>
            </w:r>
          </w:p>
        </w:tc>
        <w:tc>
          <w:tcPr>
            <w:tcW w:w="4253"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Rườm rà, thiếu linh hoạt trong trích lập &amp; sử dụng Quỹ KH&amp;CN. Thủ tục đấu thầu, mua sắm, quyết toán phức tạp.</w:t>
            </w:r>
          </w:p>
        </w:tc>
        <w:tc>
          <w:tcPr>
            <w:tcW w:w="311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Gây tâm lý ngại triển khai đề tài, giảm hiệu quả sử dụng nguồn lực.</w:t>
            </w:r>
          </w:p>
        </w:tc>
      </w:tr>
      <w:tr w:rsidR="00F74AAB" w:rsidTr="00F74AAB">
        <w:tc>
          <w:tcPr>
            <w:tcW w:w="1980"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Cs/>
                <w:sz w:val="28"/>
                <w:szCs w:val="28"/>
              </w:rPr>
              <w:t xml:space="preserve">Sở hữu </w:t>
            </w:r>
            <w:r w:rsidR="00567F61">
              <w:rPr>
                <w:rFonts w:ascii="Times New Roman" w:eastAsia="Times New Roman" w:hAnsi="Times New Roman" w:cs="Times New Roman"/>
                <w:bCs/>
                <w:sz w:val="28"/>
                <w:szCs w:val="28"/>
              </w:rPr>
              <w:t>t</w:t>
            </w:r>
            <w:r w:rsidRPr="00F74AAB">
              <w:rPr>
                <w:rFonts w:ascii="Times New Roman" w:eastAsia="Times New Roman" w:hAnsi="Times New Roman" w:cs="Times New Roman"/>
                <w:bCs/>
                <w:sz w:val="28"/>
                <w:szCs w:val="28"/>
              </w:rPr>
              <w:t>rí tuệ (SHTT) &amp; Tài sản công</w:t>
            </w:r>
          </w:p>
        </w:tc>
        <w:tc>
          <w:tcPr>
            <w:tcW w:w="4253"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Khó khăn định giá, khai thác, thương mại hóa kết quả nghiên cứu do vướng quy định tài sản công. Thiếu hướng dẫn chia sẻ lợi ích.</w:t>
            </w:r>
          </w:p>
        </w:tc>
        <w:tc>
          <w:tcPr>
            <w:tcW w:w="311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Nhiều kết quả tiềm năng không được thương mại hóa, giảm động lực đăng ký SHTT.</w:t>
            </w:r>
          </w:p>
        </w:tc>
      </w:tr>
      <w:tr w:rsidR="00F74AAB" w:rsidTr="00F74AAB">
        <w:tc>
          <w:tcPr>
            <w:tcW w:w="1980"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Cs/>
                <w:sz w:val="28"/>
                <w:szCs w:val="28"/>
              </w:rPr>
              <w:lastRenderedPageBreak/>
              <w:t>Doanh nghiệp Spin-off/Start-up</w:t>
            </w:r>
          </w:p>
        </w:tc>
        <w:tc>
          <w:tcPr>
            <w:tcW w:w="4253"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Thiếu khung pháp lý rõ ràng, cơ chế ưu đãi (thuế, vốn mồi, sử dụng hạ tầng) cho spin-off.</w:t>
            </w:r>
          </w:p>
        </w:tc>
        <w:tc>
          <w:tcPr>
            <w:tcW w:w="311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Hoạt động khởi nghiệp - ĐMST khó phát triển bền vững.</w:t>
            </w:r>
          </w:p>
        </w:tc>
      </w:tr>
      <w:tr w:rsidR="00F74AAB" w:rsidTr="00F74AAB">
        <w:tc>
          <w:tcPr>
            <w:tcW w:w="1980"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Cs/>
                <w:sz w:val="28"/>
                <w:szCs w:val="28"/>
              </w:rPr>
              <w:t xml:space="preserve">Hợp tác </w:t>
            </w:r>
            <w:r w:rsidR="00567F61">
              <w:rPr>
                <w:rFonts w:ascii="Times New Roman" w:eastAsia="Times New Roman" w:hAnsi="Times New Roman" w:cs="Times New Roman"/>
                <w:bCs/>
                <w:sz w:val="28"/>
                <w:szCs w:val="28"/>
              </w:rPr>
              <w:t>s</w:t>
            </w:r>
            <w:r w:rsidRPr="00F74AAB">
              <w:rPr>
                <w:rFonts w:ascii="Times New Roman" w:eastAsia="Times New Roman" w:hAnsi="Times New Roman" w:cs="Times New Roman"/>
                <w:bCs/>
                <w:sz w:val="28"/>
                <w:szCs w:val="28"/>
              </w:rPr>
              <w:t>oanh nghiệp/Địa phương</w:t>
            </w:r>
            <w:r w:rsidR="00567F61">
              <w:rPr>
                <w:rFonts w:ascii="Times New Roman" w:eastAsia="Times New Roman" w:hAnsi="Times New Roman" w:cs="Times New Roman"/>
                <w:bCs/>
                <w:sz w:val="28"/>
                <w:szCs w:val="28"/>
              </w:rPr>
              <w:t>/ Nhà nước</w:t>
            </w:r>
          </w:p>
        </w:tc>
        <w:tc>
          <w:tcPr>
            <w:tcW w:w="4253"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Thiếu chiều sâu hợp tác, chủ yếu dừng ở ký kết, dự án nhỏ lẻ. Thiếu cơ chế chia sẻ lợi ích, nhân sự chuyên trách.</w:t>
            </w:r>
          </w:p>
        </w:tc>
        <w:tc>
          <w:tcPr>
            <w:tcW w:w="3117" w:type="dxa"/>
            <w:vAlign w:val="center"/>
          </w:tcPr>
          <w:p w:rsidR="00F74AAB" w:rsidRPr="00F74AAB" w:rsidRDefault="00F74AAB"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Kết nối yếu, chưa tạo ra tác động kinh tế lớn, khó hấp thụ công nghệ cao.</w:t>
            </w:r>
          </w:p>
        </w:tc>
      </w:tr>
    </w:tbl>
    <w:p w:rsidR="00545D7B" w:rsidRPr="00F74AAB" w:rsidRDefault="00545D7B" w:rsidP="00516CA9">
      <w:pPr>
        <w:spacing w:before="80" w:after="0" w:line="240" w:lineRule="auto"/>
        <w:ind w:firstLine="720"/>
        <w:jc w:val="both"/>
        <w:outlineLvl w:val="1"/>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III. ĐỀ XUẤT, KIẾN NGHỊ GIẢI PHÁP NHẰM THÚC ĐẨY HOẠT ĐỘNG KH&amp;CN TRONG CSGDĐH</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Để tháo gỡ các khó khăn, hạn chế đã nêu và thúc đẩy hơn nữa hoạt động khoa học và công nghệ (KH&amp;CN) trong các cơ sở giáo dục đại học (CSGDĐH), cần có sự điều chỉnh, bổ sung đồng bộ cả về văn bản pháp lý, chính sách tài chính, và các cơ chế hỗ trợ thực thi.</w:t>
      </w:r>
    </w:p>
    <w:p w:rsidR="00545D7B" w:rsidRPr="00F74AAB" w:rsidRDefault="00545D7B" w:rsidP="00516CA9">
      <w:pPr>
        <w:spacing w:before="80" w:after="0" w:line="240" w:lineRule="auto"/>
        <w:ind w:firstLine="720"/>
        <w:jc w:val="both"/>
        <w:outlineLvl w:val="2"/>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3.1. Đối với việc sửa đổi, bổ sung nội dung trong Nghị định và các văn bản hướng dẫn liên quan</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Các kiến nghị trọng tâm cần ưu tiên thực hiện để hoàn thiện khung pháp lý cho hoạt động KH&amp;CN trong CSGDĐH bao gồm:</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Ban hành Thông tư hướng dẫn vận hành Quỹ phát triển KH&amp;CN:</w:t>
      </w:r>
      <w:r w:rsidR="00545D7B" w:rsidRPr="00C17E24">
        <w:rPr>
          <w:rFonts w:ascii="Times New Roman" w:eastAsia="Times New Roman" w:hAnsi="Times New Roman" w:cs="Times New Roman"/>
          <w:sz w:val="28"/>
          <w:szCs w:val="28"/>
        </w:rPr>
        <w:t xml:space="preserve"> Cần sớm có Thông tư hướng dẫn cụ thể về cơ chế lập, sử dụng, giám sát, tiêu chí cấp kinh phí cho Quỹ phát triển KH&amp;CN tại CSGDĐH. Điều này sẽ tạo điều kiện chủ động tài chính, minh bạch hóa quy trình và khuyến khích các trường mạnh dạn sử dụng nguồn quỹ này một cách hiệu quả cho các hoạt động nghiên cứu và đổi mới sáng tạo.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Điều chỉnh tiêu chí công nhận nhóm nghiên cứu mạnh linh hoạt theo ngành:</w:t>
      </w:r>
      <w:r w:rsidR="00545D7B" w:rsidRPr="00C17E24">
        <w:rPr>
          <w:rFonts w:ascii="Times New Roman" w:eastAsia="Times New Roman" w:hAnsi="Times New Roman" w:cs="Times New Roman"/>
          <w:sz w:val="28"/>
          <w:szCs w:val="28"/>
        </w:rPr>
        <w:t xml:space="preserve"> Các tiêu chí cần được</w:t>
      </w:r>
      <w:r w:rsidR="00545D7B" w:rsidRPr="00F74AAB">
        <w:rPr>
          <w:rFonts w:ascii="Times New Roman" w:eastAsia="Times New Roman" w:hAnsi="Times New Roman" w:cs="Times New Roman"/>
          <w:sz w:val="28"/>
          <w:szCs w:val="28"/>
        </w:rPr>
        <w:t xml:space="preserve"> điều chỉnh để phù hợp hơn với đặc thù của từng lĩnh vực khoa học (tự nhiên – xã hội – kỹ thuật – y tế). Cần cho phép phân cấp nhóm nghiên cứu thành các cấp độ (ví dụ: nhóm tiềm năng – tiệm cận mạnh – mạnh) để có lộ trình phát triển rõ ràng. Đồng thời, cần linh hoạt quy đổi sản phẩm đầu ra (sáng chế – công bố quốc tế – ứng dụng thực tiễn) để khuyến khích đa dạng các loại hình nghiên cứu và công nhận giá trị của chúng.   </w:t>
      </w:r>
    </w:p>
    <w:p w:rsidR="00545D7B" w:rsidRPr="00C17E24"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Cho phép cơ chế sandbox để thử nghiệm mô hình mới về chuyển giao công nghệ (CGCN) và spin-off:</w:t>
      </w:r>
      <w:r w:rsidR="00545D7B" w:rsidRPr="00C17E24">
        <w:rPr>
          <w:rFonts w:ascii="Times New Roman" w:eastAsia="Times New Roman" w:hAnsi="Times New Roman" w:cs="Times New Roman"/>
          <w:sz w:val="28"/>
          <w:szCs w:val="28"/>
        </w:rPr>
        <w:t xml:space="preserve"> Việc tạo ra một môi trường thử nghiệm có kiểm soát sẽ giúp rà soát, đánh giá tính khả thi và hiệu quả của các chính sách, quy định mới liên quan đến CGCN và hình thành doanh nghiệp spin-off trước khi triển khai đại trà. Điều này sẽ giảm thiểu rủi ro và đẩy nhanh quá trình hoàn thiện khung pháp lý cho các hoạt động này.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Ban hành chính sách ưu đãi thuế, vốn mồi cho doanh nghiệp KH&amp;CN từ trường đại học:</w:t>
      </w:r>
      <w:r w:rsidR="00545D7B" w:rsidRPr="00F74AAB">
        <w:rPr>
          <w:rFonts w:ascii="Times New Roman" w:eastAsia="Times New Roman" w:hAnsi="Times New Roman" w:cs="Times New Roman"/>
          <w:sz w:val="28"/>
          <w:szCs w:val="28"/>
        </w:rPr>
        <w:t xml:space="preserve"> Cần có các hướng dẫn cụ thể về chính sách hỗ trợ tín dụng, miễn </w:t>
      </w:r>
      <w:r w:rsidR="00545D7B" w:rsidRPr="00F74AAB">
        <w:rPr>
          <w:rFonts w:ascii="Times New Roman" w:eastAsia="Times New Roman" w:hAnsi="Times New Roman" w:cs="Times New Roman"/>
          <w:sz w:val="28"/>
          <w:szCs w:val="28"/>
        </w:rPr>
        <w:lastRenderedPageBreak/>
        <w:t xml:space="preserve">thuế, và cho phép sử dụng cơ sở vật chất của trường đại học cho các doanh nghiệp KH&amp;CN trong giai đoạn khởi đầu. Điều này đặc biệt quan trọng để thúc đẩy thương mại hóa kết quả nghiên cứu, nhất là trong khối trường tư thục và các trường định hướng ứng dụng, nơi mà việc tạo ra giá trị kinh tế từ nghiên cứu là mục tiêu then chốt.   </w:t>
      </w:r>
    </w:p>
    <w:p w:rsidR="00545D7B" w:rsidRPr="00F74AAB" w:rsidRDefault="00545D7B" w:rsidP="00516CA9">
      <w:pPr>
        <w:spacing w:before="80" w:after="0" w:line="240" w:lineRule="auto"/>
        <w:ind w:firstLine="720"/>
        <w:jc w:val="both"/>
        <w:outlineLvl w:val="2"/>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3.2. Kiến nghị Chính phủ và các Bộ ngành liên quan (Bộ Tài chính, Bộ KH&amp;CN, Bộ GD&amp;ĐT)</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Để tháo gỡ các rào cản hiện hữu và tạo điều kiện thúc đẩy hoạt động khoa học, công nghệ và đổi mới sáng tạo (KH&amp;CN&amp;ĐMST) trong CSGDĐH, kiến nghị Chính phủ và các Bộ, ngành liên quan tập trung chỉ đạo và triển khai một số nhóm giải pháp trọng tâm sau:</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3.2.1. Hoàn thiện khung pháp lý và cơ chế tài chính đặc thù cho CSGDĐH</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C17E24">
        <w:rPr>
          <w:rFonts w:ascii="Times New Roman" w:eastAsia="Times New Roman" w:hAnsi="Times New Roman" w:cs="Times New Roman"/>
          <w:bCs/>
          <w:sz w:val="28"/>
          <w:szCs w:val="28"/>
          <w:lang w:val="vi-VN"/>
        </w:rPr>
        <w:t xml:space="preserve">- </w:t>
      </w:r>
      <w:r w:rsidR="00545D7B" w:rsidRPr="00C17E24">
        <w:rPr>
          <w:rFonts w:ascii="Times New Roman" w:eastAsia="Times New Roman" w:hAnsi="Times New Roman" w:cs="Times New Roman"/>
          <w:bCs/>
          <w:sz w:val="28"/>
          <w:szCs w:val="28"/>
        </w:rPr>
        <w:t>Ban hành văn bản hướng dẫn thi hành các Nghị quyết:</w:t>
      </w:r>
      <w:r w:rsidR="00545D7B" w:rsidRPr="00C17E24">
        <w:rPr>
          <w:rFonts w:ascii="Times New Roman" w:eastAsia="Times New Roman" w:hAnsi="Times New Roman" w:cs="Times New Roman"/>
          <w:sz w:val="28"/>
          <w:szCs w:val="28"/>
        </w:rPr>
        <w:t xml:space="preserve"> Cần</w:t>
      </w:r>
      <w:r w:rsidR="00545D7B" w:rsidRPr="00F74AAB">
        <w:rPr>
          <w:rFonts w:ascii="Times New Roman" w:eastAsia="Times New Roman" w:hAnsi="Times New Roman" w:cs="Times New Roman"/>
          <w:sz w:val="28"/>
          <w:szCs w:val="28"/>
        </w:rPr>
        <w:t xml:space="preserve"> sớm ban hành văn bản </w:t>
      </w:r>
      <w:r w:rsidR="00752B5D">
        <w:rPr>
          <w:rFonts w:ascii="Times New Roman" w:eastAsia="Times New Roman" w:hAnsi="Times New Roman" w:cs="Times New Roman"/>
          <w:sz w:val="28"/>
          <w:szCs w:val="28"/>
        </w:rPr>
        <w:t xml:space="preserve">pháp lý </w:t>
      </w:r>
      <w:r w:rsidR="00545D7B" w:rsidRPr="00F74AAB">
        <w:rPr>
          <w:rFonts w:ascii="Times New Roman" w:eastAsia="Times New Roman" w:hAnsi="Times New Roman" w:cs="Times New Roman"/>
          <w:sz w:val="28"/>
          <w:szCs w:val="28"/>
        </w:rPr>
        <w:t xml:space="preserve">tập trung tháo gỡ vướng mắc về thương mại hóa kết quả nghiên cứu, chuyển giao công nghệ và xử lý tài sản công hình thành từ ngân sách nhà nước. Sự rõ ràng trong các quy định này sẽ giải phóng tiềm năng thương mại hóa các kết quả nghiên cứu.   </w:t>
      </w:r>
    </w:p>
    <w:p w:rsidR="00545D7B" w:rsidRPr="00F74AAB" w:rsidRDefault="00F74AAB"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lang w:val="vi-VN"/>
        </w:rPr>
        <w:t xml:space="preserve">- </w:t>
      </w:r>
      <w:r w:rsidR="00545D7B" w:rsidRPr="00516CA9">
        <w:rPr>
          <w:rFonts w:ascii="Times New Roman" w:eastAsia="Times New Roman" w:hAnsi="Times New Roman" w:cs="Times New Roman"/>
          <w:bCs/>
          <w:sz w:val="28"/>
          <w:szCs w:val="28"/>
        </w:rPr>
        <w:t>Xây dựng quy định tài chính đặc thù cho hoạt động KH&amp;CN:</w:t>
      </w:r>
      <w:r w:rsidR="00545D7B" w:rsidRPr="00F74AAB">
        <w:rPr>
          <w:rFonts w:ascii="Times New Roman" w:eastAsia="Times New Roman" w:hAnsi="Times New Roman" w:cs="Times New Roman"/>
          <w:sz w:val="28"/>
          <w:szCs w:val="28"/>
        </w:rPr>
        <w:t xml:space="preserve"> Giao Bộ Tài chính chủ trì, phối hợp với Bộ Giáo dục và Đào tạo xây dựng quy định tài chính đặc thù cho hoạt động KH&amp;CN trong CSGDĐH. Quy định này cần đảm bảo:</w:t>
      </w:r>
    </w:p>
    <w:p w:rsidR="00545D7B" w:rsidRPr="00F74AAB"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(i) </w:t>
      </w:r>
      <w:r w:rsidR="00545D7B" w:rsidRPr="00F74AAB">
        <w:rPr>
          <w:rFonts w:ascii="Times New Roman" w:eastAsia="Times New Roman" w:hAnsi="Times New Roman" w:cs="Times New Roman"/>
          <w:sz w:val="28"/>
          <w:szCs w:val="28"/>
        </w:rPr>
        <w:t xml:space="preserve">Đơn giản hóa quy trình mua sắm, đấu thầu, thanh quyết toán, phù hợp với đặc thù nghiên cứu khoa học, vốn đòi hỏi sự linh hoạt và nhanh chóng.   </w:t>
      </w:r>
    </w:p>
    <w:p w:rsidR="00545D7B" w:rsidRPr="00F74AAB"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(ii) </w:t>
      </w:r>
      <w:r w:rsidR="00545D7B" w:rsidRPr="00F74AAB">
        <w:rPr>
          <w:rFonts w:ascii="Times New Roman" w:eastAsia="Times New Roman" w:hAnsi="Times New Roman" w:cs="Times New Roman"/>
          <w:sz w:val="28"/>
          <w:szCs w:val="28"/>
        </w:rPr>
        <w:t xml:space="preserve">Cho phép sử dụng linh hoạt các nguồn thu hợp pháp (học phí, hợp đồng hợp tác, tài trợ) để hỗ trợ nghiên cứu, sở hữu trí tuệ và khởi nghiệp, giảm bớt sự phụ thuộc vào ngân sách nhà nước và tăng tính tự chủ cho các trường.   </w:t>
      </w:r>
    </w:p>
    <w:p w:rsidR="00545D7B" w:rsidRPr="00F74AAB"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(iii) </w:t>
      </w:r>
      <w:r w:rsidR="00545D7B" w:rsidRPr="00F74AAB">
        <w:rPr>
          <w:rFonts w:ascii="Times New Roman" w:eastAsia="Times New Roman" w:hAnsi="Times New Roman" w:cs="Times New Roman"/>
          <w:sz w:val="28"/>
          <w:szCs w:val="28"/>
        </w:rPr>
        <w:t xml:space="preserve">Hướng dẫn rõ ràng về định giá tài sản trí tuệ và cơ chế góp vốn bằng tài sản trí tuệ vào doanh nghiệp khởi nguồn (spin-off), tạo cơ sở pháp lý vững chắc cho việc thương mại hóa các sản phẩm trí tuệ.   </w:t>
      </w:r>
    </w:p>
    <w:p w:rsidR="00545D7B" w:rsidRPr="00F74AAB"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00545D7B" w:rsidRPr="00516CA9">
        <w:rPr>
          <w:rFonts w:ascii="Times New Roman" w:eastAsia="Times New Roman" w:hAnsi="Times New Roman" w:cs="Times New Roman"/>
          <w:bCs/>
          <w:sz w:val="28"/>
          <w:szCs w:val="28"/>
        </w:rPr>
        <w:t>Bổ sung chính sách ưu đãi tài chính, thuế và tín dụng đối với hoạt động KH&amp;CN&amp;ĐMST</w:t>
      </w:r>
      <w:r w:rsidR="00545D7B" w:rsidRPr="00F74AAB">
        <w:rPr>
          <w:rFonts w:ascii="Times New Roman" w:eastAsia="Times New Roman" w:hAnsi="Times New Roman" w:cs="Times New Roman"/>
          <w:b/>
          <w:bCs/>
          <w:sz w:val="28"/>
          <w:szCs w:val="28"/>
        </w:rPr>
        <w:t>:</w:t>
      </w:r>
      <w:r w:rsidR="00545D7B" w:rsidRPr="00F74AAB">
        <w:rPr>
          <w:rFonts w:ascii="Times New Roman" w:eastAsia="Times New Roman" w:hAnsi="Times New Roman" w:cs="Times New Roman"/>
          <w:sz w:val="28"/>
          <w:szCs w:val="28"/>
        </w:rPr>
        <w:t xml:space="preserve"> Đặc biệt ưu tiên:</w:t>
      </w:r>
    </w:p>
    <w:p w:rsidR="00545D7B" w:rsidRPr="00F74AAB"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(i)</w:t>
      </w:r>
      <w:r w:rsidR="00545D7B" w:rsidRPr="00F74AAB">
        <w:rPr>
          <w:rFonts w:ascii="Times New Roman" w:eastAsia="Times New Roman" w:hAnsi="Times New Roman" w:cs="Times New Roman"/>
          <w:sz w:val="28"/>
          <w:szCs w:val="28"/>
        </w:rPr>
        <w:t xml:space="preserve">Trường tư thục và CSGDĐH định hướng ứng dụng, khuyến khích các trường này đóng góp vào phát triển kinh tế thông qua ứng dụng KH&amp;CN.   </w:t>
      </w:r>
    </w:p>
    <w:p w:rsidR="00545D7B" w:rsidRPr="00F74AAB"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(ii)</w:t>
      </w:r>
      <w:r w:rsidR="00545D7B" w:rsidRPr="00F74AAB">
        <w:rPr>
          <w:rFonts w:ascii="Times New Roman" w:eastAsia="Times New Roman" w:hAnsi="Times New Roman" w:cs="Times New Roman"/>
          <w:sz w:val="28"/>
          <w:szCs w:val="28"/>
        </w:rPr>
        <w:t xml:space="preserve">Doanh nghiệp hợp tác nghiên cứu, chuyển giao công nghệ hoặc đầu tư phòng thí nghiệm trong trường, tạo động lực cho khu vực tư nhân tham gia sâu hơn vào hoạt động KH&amp;CN của các trường đại học.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3.2.2. Nâng cao năng lực triển khai và hiệu quả giám sát, đánh giá</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lang w:val="vi-VN"/>
        </w:rPr>
        <w:lastRenderedPageBreak/>
        <w:t xml:space="preserve">-  </w:t>
      </w:r>
      <w:r w:rsidR="00545D7B" w:rsidRPr="00516CA9">
        <w:rPr>
          <w:rFonts w:ascii="Times New Roman" w:eastAsia="Times New Roman" w:hAnsi="Times New Roman" w:cs="Times New Roman"/>
          <w:bCs/>
          <w:sz w:val="28"/>
          <w:szCs w:val="28"/>
        </w:rPr>
        <w:t>Xây dựng hệ thống tiêu chí đánh giá hiệu quả KH&amp;CN theo thông lệ quốc tế:</w:t>
      </w:r>
      <w:r w:rsidR="00545D7B" w:rsidRPr="00516CA9">
        <w:rPr>
          <w:rFonts w:ascii="Times New Roman" w:eastAsia="Times New Roman" w:hAnsi="Times New Roman" w:cs="Times New Roman"/>
          <w:sz w:val="28"/>
          <w:szCs w:val="28"/>
        </w:rPr>
        <w:t xml:space="preserve"> Giao Bộ KH&amp;CN và Bộ GD&amp;ĐT xây dựng hệ thống tiêu chí đánh giá hiệu quả hoạt động KH&amp;CN trong CSGDĐH theo thông lệ quốc tế, gắn với cơ chế tự chủ đại học. Hệ thống này cần bao gồm:</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sz w:val="28"/>
          <w:szCs w:val="28"/>
          <w:lang w:val="vi-VN"/>
        </w:rPr>
        <w:t>(i)</w:t>
      </w:r>
      <w:r w:rsidR="00752B5D">
        <w:rPr>
          <w:rFonts w:ascii="Times New Roman" w:eastAsia="Times New Roman" w:hAnsi="Times New Roman" w:cs="Times New Roman"/>
          <w:sz w:val="28"/>
          <w:szCs w:val="28"/>
        </w:rPr>
        <w:t xml:space="preserve"> </w:t>
      </w:r>
      <w:r w:rsidR="00545D7B" w:rsidRPr="00516CA9">
        <w:rPr>
          <w:rFonts w:ascii="Times New Roman" w:eastAsia="Times New Roman" w:hAnsi="Times New Roman" w:cs="Times New Roman"/>
          <w:sz w:val="28"/>
          <w:szCs w:val="28"/>
        </w:rPr>
        <w:t xml:space="preserve">Chỉ số uy tín nhà khoa học và nhóm nghiên cứu (dựa trên công bố, trích dẫn, SHTT, CGCN), khuyến khích các nhà khoa học hướng tới nghiên cứu có tác động cao.   </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sz w:val="28"/>
          <w:szCs w:val="28"/>
          <w:lang w:val="vi-VN"/>
        </w:rPr>
        <w:t xml:space="preserve">(ii) </w:t>
      </w:r>
      <w:r w:rsidR="00545D7B" w:rsidRPr="00516CA9">
        <w:rPr>
          <w:rFonts w:ascii="Times New Roman" w:eastAsia="Times New Roman" w:hAnsi="Times New Roman" w:cs="Times New Roman"/>
          <w:sz w:val="28"/>
          <w:szCs w:val="28"/>
        </w:rPr>
        <w:t xml:space="preserve">Công cụ đánh giá định lượng gắn với đầu tư ngân sách và kết quả đầu ra, đảm bảo tính minh bạch và hiệu quả của việc sử dụng nguồn lực.   </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bCs/>
          <w:sz w:val="28"/>
          <w:szCs w:val="28"/>
          <w:lang w:val="vi-VN"/>
        </w:rPr>
        <w:t xml:space="preserve">- </w:t>
      </w:r>
      <w:r w:rsidR="00545D7B" w:rsidRPr="00516CA9">
        <w:rPr>
          <w:rFonts w:ascii="Times New Roman" w:eastAsia="Times New Roman" w:hAnsi="Times New Roman" w:cs="Times New Roman"/>
          <w:bCs/>
          <w:sz w:val="28"/>
          <w:szCs w:val="28"/>
        </w:rPr>
        <w:t>Đẩy mạnh cơ chế tự chủ đi đôi với hậu kiểm và số hóa quy trình nghiên cứu:</w:t>
      </w:r>
      <w:r w:rsidR="00545D7B" w:rsidRPr="00516CA9">
        <w:rPr>
          <w:rFonts w:ascii="Times New Roman" w:eastAsia="Times New Roman" w:hAnsi="Times New Roman" w:cs="Times New Roman"/>
          <w:sz w:val="28"/>
          <w:szCs w:val="28"/>
        </w:rPr>
        <w:t xml:space="preserve"> Đẩy mạnh cơ chế tự chủ cho CSGDĐH, đi đôi với việc tăng cường cơ chế hậu kiểm và số hóa toàn bộ quy trình nghiên cứu, từ đề xuất, triển khai, nghiệm thu đến thương mại hóa. Điều này sẽ bảo đảm tính minh bạch, tiết kiệm nguồn lực và nâng cao hiệu quả thực thi.   </w:t>
      </w:r>
    </w:p>
    <w:p w:rsidR="00545D7B" w:rsidRPr="00F74AAB" w:rsidRDefault="00545D7B" w:rsidP="00516CA9">
      <w:pPr>
        <w:spacing w:before="80" w:after="0" w:line="240" w:lineRule="auto"/>
        <w:ind w:firstLine="720"/>
        <w:jc w:val="both"/>
        <w:outlineLvl w:val="3"/>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3.2.3. Thúc đẩy hợp tác công tư và liên kết với doanh nghiệp</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w:t>
      </w:r>
      <w:r w:rsidR="00545D7B" w:rsidRPr="00516CA9">
        <w:rPr>
          <w:rFonts w:ascii="Times New Roman" w:eastAsia="Times New Roman" w:hAnsi="Times New Roman" w:cs="Times New Roman"/>
          <w:bCs/>
          <w:sz w:val="28"/>
          <w:szCs w:val="28"/>
        </w:rPr>
        <w:t>Khuyến khích doanh nghiệp hợp tác nghiên cứu – ứng dụng:</w:t>
      </w:r>
      <w:r w:rsidR="00545D7B" w:rsidRPr="00516CA9">
        <w:rPr>
          <w:rFonts w:ascii="Times New Roman" w:eastAsia="Times New Roman" w:hAnsi="Times New Roman" w:cs="Times New Roman"/>
          <w:sz w:val="28"/>
          <w:szCs w:val="28"/>
        </w:rPr>
        <w:t xml:space="preserve"> Khuyến khích doanh nghiệp hợp tác nghiên cứu – ứng dụng kết quả KH&amp;CN của CSGDĐH thông qua:</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sz w:val="28"/>
          <w:szCs w:val="28"/>
          <w:lang w:val="vi-VN"/>
        </w:rPr>
        <w:t>(i)</w:t>
      </w:r>
      <w:r w:rsidR="00FC737A">
        <w:rPr>
          <w:rFonts w:ascii="Times New Roman" w:eastAsia="Times New Roman" w:hAnsi="Times New Roman" w:cs="Times New Roman"/>
          <w:sz w:val="28"/>
          <w:szCs w:val="28"/>
          <w:lang w:val="vi-VN"/>
        </w:rPr>
        <w:t xml:space="preserve"> </w:t>
      </w:r>
      <w:r w:rsidR="00545D7B" w:rsidRPr="00516CA9">
        <w:rPr>
          <w:rFonts w:ascii="Times New Roman" w:eastAsia="Times New Roman" w:hAnsi="Times New Roman" w:cs="Times New Roman"/>
          <w:sz w:val="28"/>
          <w:szCs w:val="28"/>
        </w:rPr>
        <w:t xml:space="preserve">Ưu đãi thuế cho doanh nghiệp đặt hàng nghiên cứu, đặc biệt tại trường đại học tư thục, tạo động lực tài chính cho doanh nghiệp đầu tư vào nghiên cứu.   </w:t>
      </w:r>
    </w:p>
    <w:p w:rsidR="00545D7B" w:rsidRPr="00516CA9" w:rsidRDefault="00516CA9" w:rsidP="00516CA9">
      <w:pPr>
        <w:spacing w:before="80" w:after="0" w:line="240" w:lineRule="auto"/>
        <w:ind w:firstLine="720"/>
        <w:jc w:val="both"/>
        <w:rPr>
          <w:rFonts w:ascii="Times New Roman" w:eastAsia="Times New Roman" w:hAnsi="Times New Roman" w:cs="Times New Roman"/>
          <w:sz w:val="28"/>
          <w:szCs w:val="28"/>
        </w:rPr>
      </w:pPr>
      <w:r w:rsidRPr="00516CA9">
        <w:rPr>
          <w:rFonts w:ascii="Times New Roman" w:eastAsia="Times New Roman" w:hAnsi="Times New Roman" w:cs="Times New Roman"/>
          <w:sz w:val="28"/>
          <w:szCs w:val="28"/>
          <w:lang w:val="vi-VN"/>
        </w:rPr>
        <w:t xml:space="preserve">(ii) </w:t>
      </w:r>
      <w:r w:rsidR="00545D7B" w:rsidRPr="00516CA9">
        <w:rPr>
          <w:rFonts w:ascii="Times New Roman" w:eastAsia="Times New Roman" w:hAnsi="Times New Roman" w:cs="Times New Roman"/>
          <w:sz w:val="28"/>
          <w:szCs w:val="28"/>
        </w:rPr>
        <w:t xml:space="preserve">Tăng quyền tự chủ cho CSGDĐH trong ký kết hợp đồng nghiên cứu – chuyển giao với doanh nghiệp </w:t>
      </w:r>
      <w:bookmarkStart w:id="0" w:name="_Hlk204619025"/>
      <w:r w:rsidR="00545D7B" w:rsidRPr="00516CA9">
        <w:rPr>
          <w:rFonts w:ascii="Times New Roman" w:eastAsia="Times New Roman" w:hAnsi="Times New Roman" w:cs="Times New Roman"/>
          <w:sz w:val="28"/>
          <w:szCs w:val="28"/>
        </w:rPr>
        <w:t>nhỏ, doanh nghiệp nước ngoài, mở rộng cơ hội hợp tác và đa dạng hóa nguồn lực</w:t>
      </w:r>
      <w:bookmarkEnd w:id="0"/>
      <w:r w:rsidR="00545D7B" w:rsidRPr="00516CA9">
        <w:rPr>
          <w:rFonts w:ascii="Times New Roman" w:eastAsia="Times New Roman" w:hAnsi="Times New Roman" w:cs="Times New Roman"/>
          <w:sz w:val="28"/>
          <w:szCs w:val="28"/>
        </w:rPr>
        <w:t xml:space="preserve">.   </w:t>
      </w:r>
    </w:p>
    <w:p w:rsidR="00545D7B" w:rsidRDefault="00545D7B" w:rsidP="00516CA9">
      <w:pPr>
        <w:spacing w:before="80" w:after="0" w:line="240" w:lineRule="auto"/>
        <w:ind w:firstLine="720"/>
        <w:jc w:val="both"/>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 xml:space="preserve">Bảng 3: Đề xuất, </w:t>
      </w:r>
      <w:r w:rsidR="00516CA9">
        <w:rPr>
          <w:rFonts w:ascii="Times New Roman" w:eastAsia="Times New Roman" w:hAnsi="Times New Roman" w:cs="Times New Roman"/>
          <w:b/>
          <w:bCs/>
          <w:sz w:val="28"/>
          <w:szCs w:val="28"/>
          <w:lang w:val="vi-VN"/>
        </w:rPr>
        <w:t>k</w:t>
      </w:r>
      <w:r w:rsidRPr="00F74AAB">
        <w:rPr>
          <w:rFonts w:ascii="Times New Roman" w:eastAsia="Times New Roman" w:hAnsi="Times New Roman" w:cs="Times New Roman"/>
          <w:b/>
          <w:bCs/>
          <w:sz w:val="28"/>
          <w:szCs w:val="28"/>
        </w:rPr>
        <w:t xml:space="preserve">iến nghị </w:t>
      </w:r>
      <w:r w:rsidR="00516CA9">
        <w:rPr>
          <w:rFonts w:ascii="Times New Roman" w:eastAsia="Times New Roman" w:hAnsi="Times New Roman" w:cs="Times New Roman"/>
          <w:b/>
          <w:bCs/>
          <w:sz w:val="28"/>
          <w:szCs w:val="28"/>
          <w:lang w:val="vi-VN"/>
        </w:rPr>
        <w:t>g</w:t>
      </w:r>
      <w:r w:rsidRPr="00F74AAB">
        <w:rPr>
          <w:rFonts w:ascii="Times New Roman" w:eastAsia="Times New Roman" w:hAnsi="Times New Roman" w:cs="Times New Roman"/>
          <w:b/>
          <w:bCs/>
          <w:sz w:val="28"/>
          <w:szCs w:val="28"/>
        </w:rPr>
        <w:t xml:space="preserve">iải pháp và </w:t>
      </w:r>
      <w:r w:rsidR="00516CA9">
        <w:rPr>
          <w:rFonts w:ascii="Times New Roman" w:eastAsia="Times New Roman" w:hAnsi="Times New Roman" w:cs="Times New Roman"/>
          <w:b/>
          <w:bCs/>
          <w:sz w:val="28"/>
          <w:szCs w:val="28"/>
          <w:lang w:val="vi-VN"/>
        </w:rPr>
        <w:t>c</w:t>
      </w:r>
      <w:r w:rsidRPr="00F74AAB">
        <w:rPr>
          <w:rFonts w:ascii="Times New Roman" w:eastAsia="Times New Roman" w:hAnsi="Times New Roman" w:cs="Times New Roman"/>
          <w:b/>
          <w:bCs/>
          <w:sz w:val="28"/>
          <w:szCs w:val="28"/>
        </w:rPr>
        <w:t xml:space="preserve">ơ quan </w:t>
      </w:r>
      <w:r w:rsidR="00516CA9">
        <w:rPr>
          <w:rFonts w:ascii="Times New Roman" w:eastAsia="Times New Roman" w:hAnsi="Times New Roman" w:cs="Times New Roman"/>
          <w:b/>
          <w:bCs/>
          <w:sz w:val="28"/>
          <w:szCs w:val="28"/>
          <w:lang w:val="vi-VN"/>
        </w:rPr>
        <w:t>t</w:t>
      </w:r>
      <w:r w:rsidRPr="00F74AAB">
        <w:rPr>
          <w:rFonts w:ascii="Times New Roman" w:eastAsia="Times New Roman" w:hAnsi="Times New Roman" w:cs="Times New Roman"/>
          <w:b/>
          <w:bCs/>
          <w:sz w:val="28"/>
          <w:szCs w:val="28"/>
        </w:rPr>
        <w:t>hực hiện</w:t>
      </w:r>
    </w:p>
    <w:p w:rsidR="00516CA9" w:rsidRDefault="00516CA9" w:rsidP="00516CA9">
      <w:pPr>
        <w:spacing w:before="80" w:after="0" w:line="240" w:lineRule="auto"/>
        <w:jc w:val="both"/>
        <w:rPr>
          <w:rFonts w:ascii="Times New Roman" w:eastAsia="Times New Roman" w:hAnsi="Times New Roman" w:cs="Times New Roman"/>
          <w:sz w:val="28"/>
          <w:szCs w:val="28"/>
        </w:rPr>
      </w:pPr>
    </w:p>
    <w:tbl>
      <w:tblPr>
        <w:tblStyle w:val="TableGrid"/>
        <w:tblW w:w="9493" w:type="dxa"/>
        <w:tblLook w:val="04A0" w:firstRow="1" w:lastRow="0" w:firstColumn="1" w:lastColumn="0" w:noHBand="0" w:noVBand="1"/>
      </w:tblPr>
      <w:tblGrid>
        <w:gridCol w:w="1980"/>
        <w:gridCol w:w="4961"/>
        <w:gridCol w:w="2552"/>
      </w:tblGrid>
      <w:tr w:rsidR="00516CA9" w:rsidTr="00516CA9">
        <w:tc>
          <w:tcPr>
            <w:tcW w:w="1980" w:type="dxa"/>
            <w:vAlign w:val="center"/>
          </w:tcPr>
          <w:p w:rsidR="00516CA9" w:rsidRPr="00516CA9" w:rsidRDefault="00516CA9" w:rsidP="00516CA9">
            <w:pPr>
              <w:spacing w:before="80"/>
              <w:jc w:val="center"/>
              <w:rPr>
                <w:rFonts w:ascii="Times New Roman" w:eastAsia="Times New Roman" w:hAnsi="Times New Roman" w:cs="Times New Roman"/>
                <w:b/>
                <w:sz w:val="28"/>
                <w:szCs w:val="28"/>
              </w:rPr>
            </w:pPr>
            <w:r w:rsidRPr="00516CA9">
              <w:rPr>
                <w:rFonts w:ascii="Times New Roman" w:eastAsia="Times New Roman" w:hAnsi="Times New Roman" w:cs="Times New Roman"/>
                <w:b/>
                <w:sz w:val="28"/>
                <w:szCs w:val="28"/>
              </w:rPr>
              <w:t>Lĩnh vực Khó khăn</w:t>
            </w:r>
          </w:p>
        </w:tc>
        <w:tc>
          <w:tcPr>
            <w:tcW w:w="4961" w:type="dxa"/>
            <w:vAlign w:val="center"/>
          </w:tcPr>
          <w:p w:rsidR="00516CA9" w:rsidRPr="00516CA9" w:rsidRDefault="00516CA9" w:rsidP="00516CA9">
            <w:pPr>
              <w:spacing w:before="80"/>
              <w:ind w:firstLine="720"/>
              <w:jc w:val="center"/>
              <w:rPr>
                <w:rFonts w:ascii="Times New Roman" w:eastAsia="Times New Roman" w:hAnsi="Times New Roman" w:cs="Times New Roman"/>
                <w:b/>
                <w:sz w:val="28"/>
                <w:szCs w:val="28"/>
              </w:rPr>
            </w:pPr>
            <w:r w:rsidRPr="00516CA9">
              <w:rPr>
                <w:rFonts w:ascii="Times New Roman" w:eastAsia="Times New Roman" w:hAnsi="Times New Roman" w:cs="Times New Roman"/>
                <w:b/>
                <w:sz w:val="28"/>
                <w:szCs w:val="28"/>
              </w:rPr>
              <w:t>Đề xuất/Kiến nghị Giải pháp</w:t>
            </w:r>
          </w:p>
        </w:tc>
        <w:tc>
          <w:tcPr>
            <w:tcW w:w="2552" w:type="dxa"/>
            <w:vAlign w:val="center"/>
          </w:tcPr>
          <w:p w:rsidR="00516CA9" w:rsidRPr="00516CA9" w:rsidRDefault="00516CA9" w:rsidP="00516CA9">
            <w:pPr>
              <w:spacing w:before="80"/>
              <w:jc w:val="center"/>
              <w:rPr>
                <w:rFonts w:ascii="Times New Roman" w:eastAsia="Times New Roman" w:hAnsi="Times New Roman" w:cs="Times New Roman"/>
                <w:b/>
                <w:sz w:val="28"/>
                <w:szCs w:val="28"/>
              </w:rPr>
            </w:pPr>
            <w:r w:rsidRPr="00516CA9">
              <w:rPr>
                <w:rFonts w:ascii="Times New Roman" w:eastAsia="Times New Roman" w:hAnsi="Times New Roman" w:cs="Times New Roman"/>
                <w:b/>
                <w:sz w:val="28"/>
                <w:szCs w:val="28"/>
              </w:rPr>
              <w:t>Cơ quan Thực hiện Chính</w:t>
            </w:r>
          </w:p>
        </w:tc>
      </w:tr>
      <w:tr w:rsidR="00516CA9" w:rsidTr="00516CA9">
        <w:tc>
          <w:tcPr>
            <w:tcW w:w="1980"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t xml:space="preserve">Nhóm </w:t>
            </w:r>
            <w:r w:rsidR="00567F61">
              <w:rPr>
                <w:rFonts w:ascii="Times New Roman" w:eastAsia="Times New Roman" w:hAnsi="Times New Roman" w:cs="Times New Roman"/>
                <w:b/>
                <w:bCs/>
                <w:sz w:val="28"/>
                <w:szCs w:val="28"/>
              </w:rPr>
              <w:t>n</w:t>
            </w:r>
            <w:r w:rsidRPr="00F74AAB">
              <w:rPr>
                <w:rFonts w:ascii="Times New Roman" w:eastAsia="Times New Roman" w:hAnsi="Times New Roman" w:cs="Times New Roman"/>
                <w:b/>
                <w:bCs/>
                <w:sz w:val="28"/>
                <w:szCs w:val="28"/>
              </w:rPr>
              <w:t xml:space="preserve">ghiên cứu </w:t>
            </w:r>
            <w:r w:rsidR="00567F61">
              <w:rPr>
                <w:rFonts w:ascii="Times New Roman" w:eastAsia="Times New Roman" w:hAnsi="Times New Roman" w:cs="Times New Roman"/>
                <w:b/>
                <w:bCs/>
                <w:sz w:val="28"/>
                <w:szCs w:val="28"/>
              </w:rPr>
              <w:t>m</w:t>
            </w:r>
            <w:r w:rsidRPr="00F74AAB">
              <w:rPr>
                <w:rFonts w:ascii="Times New Roman" w:eastAsia="Times New Roman" w:hAnsi="Times New Roman" w:cs="Times New Roman"/>
                <w:b/>
                <w:bCs/>
                <w:sz w:val="28"/>
                <w:szCs w:val="28"/>
              </w:rPr>
              <w:t>ạnh</w:t>
            </w:r>
          </w:p>
        </w:tc>
        <w:tc>
          <w:tcPr>
            <w:tcW w:w="4961"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Điều chỉnh tiêu chí linh hoạt theo ngành (H-index, sản phẩm đầu ra). Bổ sung cấp độ "nhóm tiềm năng", "tiệm cận mạnh". Hỗ trợ tài chính, chính sách ưu đãi cụ thể.</w:t>
            </w:r>
          </w:p>
        </w:tc>
        <w:tc>
          <w:tcPr>
            <w:tcW w:w="2552"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Bộ GD&amp;ĐT, Bộ KH&amp;CN</w:t>
            </w:r>
          </w:p>
        </w:tc>
      </w:tr>
      <w:tr w:rsidR="00516CA9" w:rsidTr="00516CA9">
        <w:tc>
          <w:tcPr>
            <w:tcW w:w="1980"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t xml:space="preserve">Sở hữu </w:t>
            </w:r>
            <w:r w:rsidR="00567F61">
              <w:rPr>
                <w:rFonts w:ascii="Times New Roman" w:eastAsia="Times New Roman" w:hAnsi="Times New Roman" w:cs="Times New Roman"/>
                <w:b/>
                <w:bCs/>
                <w:sz w:val="28"/>
                <w:szCs w:val="28"/>
              </w:rPr>
              <w:t>t</w:t>
            </w:r>
            <w:r w:rsidRPr="00F74AAB">
              <w:rPr>
                <w:rFonts w:ascii="Times New Roman" w:eastAsia="Times New Roman" w:hAnsi="Times New Roman" w:cs="Times New Roman"/>
                <w:b/>
                <w:bCs/>
                <w:sz w:val="28"/>
                <w:szCs w:val="28"/>
              </w:rPr>
              <w:t>rí tuệ &amp; Tài sản công</w:t>
            </w:r>
          </w:p>
        </w:tc>
        <w:tc>
          <w:tcPr>
            <w:tcW w:w="4961"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Hướng dẫn rõ ràng về định giá SHTT, góp vốn bằng SHTT. Quy định phân chia lợi ích rõ ràng. Cho phép cơ chế sandbox thử nghiệm.</w:t>
            </w:r>
          </w:p>
        </w:tc>
        <w:tc>
          <w:tcPr>
            <w:tcW w:w="2552"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Bộ Tài chính, Bộ KH&amp;CN, Bộ Tư pháp</w:t>
            </w:r>
          </w:p>
        </w:tc>
      </w:tr>
      <w:tr w:rsidR="00516CA9" w:rsidTr="00516CA9">
        <w:tc>
          <w:tcPr>
            <w:tcW w:w="1980"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lastRenderedPageBreak/>
              <w:t xml:space="preserve">Doanh nghiệp </w:t>
            </w:r>
            <w:r w:rsidR="00EB6F72">
              <w:rPr>
                <w:rFonts w:ascii="Times New Roman" w:eastAsia="Times New Roman" w:hAnsi="Times New Roman" w:cs="Times New Roman"/>
                <w:b/>
                <w:bCs/>
                <w:sz w:val="28"/>
                <w:szCs w:val="28"/>
              </w:rPr>
              <w:t>Khởi nghiệp sáng tạo</w:t>
            </w:r>
          </w:p>
        </w:tc>
        <w:tc>
          <w:tcPr>
            <w:tcW w:w="4961"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Hoàn thiện khung pháp lý về tiêu chí, quyền-nghĩa vụ, ưu đãi thuế, vốn mồi, sử dụng hạ tầng. Định nghĩa rõ ràng về spin-off/start-up.</w:t>
            </w:r>
          </w:p>
        </w:tc>
        <w:tc>
          <w:tcPr>
            <w:tcW w:w="2552"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Bộ KH&amp;CN, Bộ GD&amp;ĐT, Bộ Tài chính</w:t>
            </w:r>
          </w:p>
        </w:tc>
      </w:tr>
      <w:tr w:rsidR="00516CA9" w:rsidTr="00516CA9">
        <w:tc>
          <w:tcPr>
            <w:tcW w:w="1980"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t xml:space="preserve">Hợp tác </w:t>
            </w:r>
            <w:r w:rsidR="00EB6F72">
              <w:rPr>
                <w:rFonts w:ascii="Times New Roman" w:eastAsia="Times New Roman" w:hAnsi="Times New Roman" w:cs="Times New Roman"/>
                <w:b/>
                <w:bCs/>
                <w:sz w:val="28"/>
                <w:szCs w:val="28"/>
              </w:rPr>
              <w:t>d</w:t>
            </w:r>
            <w:r w:rsidRPr="00F74AAB">
              <w:rPr>
                <w:rFonts w:ascii="Times New Roman" w:eastAsia="Times New Roman" w:hAnsi="Times New Roman" w:cs="Times New Roman"/>
                <w:b/>
                <w:bCs/>
                <w:sz w:val="28"/>
                <w:szCs w:val="28"/>
              </w:rPr>
              <w:t>oanh nghiệp/Địa phương</w:t>
            </w:r>
          </w:p>
        </w:tc>
        <w:tc>
          <w:tcPr>
            <w:tcW w:w="4961"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Khuyến khích mô hình PPP trong nghiên cứu – chuyển giao – đào tạo. Ưu đãi thuế cho doanh nghiệp đặt hàng nghiên cứu. Tăng quyền tự chủ ký kết hợp đồng</w:t>
            </w:r>
            <w:r w:rsidR="00EB6F72">
              <w:rPr>
                <w:rFonts w:ascii="Times New Roman" w:eastAsia="Times New Roman" w:hAnsi="Times New Roman" w:cs="Times New Roman"/>
                <w:sz w:val="28"/>
                <w:szCs w:val="28"/>
              </w:rPr>
              <w:t>. Đẩy mạnh hợp tác Nhà nước- Nhà trường – Nhà doanh nghiệp và hệ sinh thái đổi mới sáng tạo trong CSGDĐH</w:t>
            </w:r>
          </w:p>
        </w:tc>
        <w:tc>
          <w:tcPr>
            <w:tcW w:w="2552"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Chính phủ, Bộ KH&amp;CN, Bộ GD&amp;ĐT, </w:t>
            </w:r>
            <w:r w:rsidR="00EB6F72">
              <w:rPr>
                <w:rFonts w:ascii="Times New Roman" w:eastAsia="Times New Roman" w:hAnsi="Times New Roman" w:cs="Times New Roman"/>
                <w:sz w:val="28"/>
                <w:szCs w:val="28"/>
              </w:rPr>
              <w:t>Bộ Tài chính, doanh nghiệp</w:t>
            </w:r>
          </w:p>
        </w:tc>
      </w:tr>
      <w:tr w:rsidR="00516CA9" w:rsidTr="00516CA9">
        <w:tc>
          <w:tcPr>
            <w:tcW w:w="1980"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b/>
                <w:bCs/>
                <w:sz w:val="28"/>
                <w:szCs w:val="28"/>
              </w:rPr>
              <w:t xml:space="preserve">Nguồn nhân lực </w:t>
            </w:r>
          </w:p>
        </w:tc>
        <w:tc>
          <w:tcPr>
            <w:tcW w:w="4961"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Hoàn thiện chính sách đãi ngộ hấp dẫn. Tăng cường đầu tư kinh phí đào tạo, nghiên cứu</w:t>
            </w:r>
            <w:r w:rsidR="00EB6F72">
              <w:rPr>
                <w:rFonts w:ascii="Times New Roman" w:eastAsia="Times New Roman" w:hAnsi="Times New Roman" w:cs="Times New Roman"/>
                <w:sz w:val="28"/>
                <w:szCs w:val="28"/>
              </w:rPr>
              <w:t xml:space="preserve"> và cơ chế ưu đãi cho giảng viên và người học</w:t>
            </w:r>
          </w:p>
        </w:tc>
        <w:tc>
          <w:tcPr>
            <w:tcW w:w="2552" w:type="dxa"/>
            <w:vAlign w:val="center"/>
          </w:tcPr>
          <w:p w:rsidR="00516CA9" w:rsidRPr="00F74AAB" w:rsidRDefault="00516CA9" w:rsidP="00C17E24">
            <w:pPr>
              <w:spacing w:before="8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Bộ GD&amp;ĐT, Bộ Nội vụ, Bộ Tài chính</w:t>
            </w:r>
          </w:p>
        </w:tc>
      </w:tr>
    </w:tbl>
    <w:p w:rsidR="00516CA9" w:rsidRPr="00F74AAB" w:rsidRDefault="00516CA9" w:rsidP="00C17E24">
      <w:pPr>
        <w:spacing w:before="80" w:after="0" w:line="240" w:lineRule="auto"/>
        <w:jc w:val="both"/>
        <w:rPr>
          <w:rFonts w:ascii="Times New Roman" w:eastAsia="Times New Roman" w:hAnsi="Times New Roman" w:cs="Times New Roman"/>
          <w:sz w:val="28"/>
          <w:szCs w:val="28"/>
        </w:rPr>
      </w:pPr>
    </w:p>
    <w:p w:rsidR="00545D7B" w:rsidRPr="00F74AAB" w:rsidRDefault="00545D7B" w:rsidP="00516CA9">
      <w:pPr>
        <w:spacing w:before="80" w:after="0" w:line="240" w:lineRule="auto"/>
        <w:ind w:firstLine="720"/>
        <w:jc w:val="both"/>
        <w:outlineLvl w:val="1"/>
        <w:rPr>
          <w:rFonts w:ascii="Times New Roman" w:eastAsia="Times New Roman" w:hAnsi="Times New Roman" w:cs="Times New Roman"/>
          <w:b/>
          <w:bCs/>
          <w:sz w:val="28"/>
          <w:szCs w:val="28"/>
        </w:rPr>
      </w:pPr>
      <w:r w:rsidRPr="00F74AAB">
        <w:rPr>
          <w:rFonts w:ascii="Times New Roman" w:eastAsia="Times New Roman" w:hAnsi="Times New Roman" w:cs="Times New Roman"/>
          <w:b/>
          <w:bCs/>
          <w:sz w:val="28"/>
          <w:szCs w:val="28"/>
        </w:rPr>
        <w:t>Kết luận</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Sau hơn hai năm triển khai, Nghị định số 109/2022/NĐ-CP của Chính phủ đã thực sự tạo ra một hành lang pháp lý quan trọng và cụ thể, định hình lại hoạt động khoa học và công nghệ trong các cơ sở giáo dục đại học Việt Nam. Các trường đại học đã thể hiện sự chủ động và tích cực đáng kể trong việc quán triệt, ban hành các quy định nội bộ và đạt được những kết quả ban đầu đáng ghi nhận, đặc biệt là sự gia tăng mạnh mẽ về tỷ lệ giảng viên tham gia nghiên cứu khoa học và số lượng công bố quốc tế. Điều này khẳng định vai trò ngày càng trung tâm của KH&amp;CN trong chiến lược phát triển bền vững của các trường.</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Tuy nhiên, quá trình thực hiện Nghị định vẫn còn đối mặt với nhiều khó khăn, tồn tại đáng kể. Những thách thức này chủ yếu xuất phát từ sự chưa đồng bộ của các văn bản pháp luật liên quan, sự cứng nhắc của cơ chế tài chính công, những rào cản pháp lý trong sở hữu trí tuệ và xử lý tài sản công, cũng như sự thiếu hụt khung pháp lý và cơ chế ưu đãi đặc thù cho các doanh nghiệp khoa học và công nghệ (spin-off/start-up). Bên cạnh đó, hạn chế về nguồn nhân lực chất lượng cao, tải giảng dạy nặng nề, và các chính sách đãi ngộ chưa đủ hấp dẫn cũng là những yếu tố cản trở sự phát triển toàn diện của hoạt động KH&amp;CN.</w:t>
      </w:r>
    </w:p>
    <w:p w:rsidR="00545D7B" w:rsidRPr="00F74AAB" w:rsidRDefault="00545D7B" w:rsidP="00516CA9">
      <w:pPr>
        <w:spacing w:before="80" w:after="0" w:line="240" w:lineRule="auto"/>
        <w:ind w:firstLine="720"/>
        <w:jc w:val="both"/>
        <w:rPr>
          <w:rFonts w:ascii="Times New Roman" w:eastAsia="Times New Roman" w:hAnsi="Times New Roman" w:cs="Times New Roman"/>
          <w:sz w:val="28"/>
          <w:szCs w:val="28"/>
        </w:rPr>
      </w:pPr>
      <w:r w:rsidRPr="00F74AAB">
        <w:rPr>
          <w:rFonts w:ascii="Times New Roman" w:eastAsia="Times New Roman" w:hAnsi="Times New Roman" w:cs="Times New Roman"/>
          <w:sz w:val="28"/>
          <w:szCs w:val="28"/>
        </w:rPr>
        <w:t xml:space="preserve">Để thực sự khai thác tối đa tiềm năng của Nghị định 109/2022/NĐ-CP và đưa hoạt động KH&amp;CN trong CSGDĐH lên một tầm cao mới, cần có sự vào cuộc đồng bộ và quyết liệt hơn nữa từ Chính phủ và các Bộ, ngành liên quan. Các giải pháp trọng tâm phải hướng tới việc hoàn thiện khung pháp lý và cơ chế tài chính đặc thù, bao gồm việc ban hành các thông tư hướng dẫn cụ thể về vận hành Quỹ phát triển </w:t>
      </w:r>
      <w:r w:rsidRPr="00F74AAB">
        <w:rPr>
          <w:rFonts w:ascii="Times New Roman" w:eastAsia="Times New Roman" w:hAnsi="Times New Roman" w:cs="Times New Roman"/>
          <w:sz w:val="28"/>
          <w:szCs w:val="28"/>
        </w:rPr>
        <w:lastRenderedPageBreak/>
        <w:t>KH&amp;CN, điều chỉnh tiêu chí nhóm nghiên cứu mạnh linh hoạt theo đặc thù ngành, cho phép cơ chế sandbox để thử nghiệm các mô hình mới, và ban hành chính sách ưu đãi thuế, vốn mồi cho doanh nghiệp KH&amp;CN từ trường đại học. Đồng thời, việc nâng cao năng lực triển khai, hiệu quả giám sát, đánh giá dựa trên thông lệ quốc tế, và thúc đẩy mạnh mẽ hợp tác công tư với doanh nghiệp là những yếu tố then chốt để biến các kết quả nghiên cứu thành giá trị kinh tế - xã hội cụ thể.</w:t>
      </w:r>
    </w:p>
    <w:p w:rsidR="00545D7B" w:rsidRPr="00545D7B" w:rsidRDefault="00545D7B" w:rsidP="00516CA9">
      <w:pPr>
        <w:spacing w:before="80" w:after="0" w:line="240" w:lineRule="auto"/>
        <w:ind w:firstLine="720"/>
        <w:jc w:val="both"/>
        <w:rPr>
          <w:rFonts w:ascii="Times New Roman" w:eastAsia="Times New Roman" w:hAnsi="Times New Roman" w:cs="Times New Roman"/>
          <w:sz w:val="24"/>
          <w:szCs w:val="24"/>
        </w:rPr>
      </w:pPr>
      <w:r w:rsidRPr="00F74AAB">
        <w:rPr>
          <w:rFonts w:ascii="Times New Roman" w:eastAsia="Times New Roman" w:hAnsi="Times New Roman" w:cs="Times New Roman"/>
          <w:sz w:val="28"/>
          <w:szCs w:val="28"/>
        </w:rPr>
        <w:t>Chỉ khi những rào cản này được tháo gỡ một cách hiệu quả, các cơ sở giáo dục đại học mới có thể phát huy tối đa vai trò là trung tâm nghiên cứu, đổi mới sáng tạo, và chuyển giao công nghệ, đóng góp xứng đáng vào sự nghiệp phát triển kinh tế - xã hội dựa trên tri thức của đất nước</w:t>
      </w:r>
      <w:r w:rsidRPr="00545D7B">
        <w:rPr>
          <w:rFonts w:ascii="Times New Roman" w:eastAsia="Times New Roman" w:hAnsi="Times New Roman" w:cs="Times New Roman"/>
          <w:sz w:val="24"/>
          <w:szCs w:val="24"/>
        </w:rPr>
        <w:t>.</w:t>
      </w:r>
    </w:p>
    <w:tbl>
      <w:tblPr>
        <w:tblW w:w="9206" w:type="dxa"/>
        <w:jc w:val="center"/>
        <w:tblLayout w:type="fixed"/>
        <w:tblLook w:val="0000" w:firstRow="0" w:lastRow="0" w:firstColumn="0" w:lastColumn="0" w:noHBand="0" w:noVBand="0"/>
      </w:tblPr>
      <w:tblGrid>
        <w:gridCol w:w="5029"/>
        <w:gridCol w:w="4177"/>
      </w:tblGrid>
      <w:tr w:rsidR="00AE10D8" w:rsidRPr="005A130C" w:rsidTr="00261ADA">
        <w:trPr>
          <w:jc w:val="center"/>
        </w:trPr>
        <w:tc>
          <w:tcPr>
            <w:tcW w:w="5029" w:type="dxa"/>
          </w:tcPr>
          <w:p w:rsidR="00AE10D8" w:rsidRPr="005A130C" w:rsidRDefault="00AE10D8" w:rsidP="00261ADA">
            <w:pPr>
              <w:widowControl w:val="0"/>
              <w:spacing w:after="0" w:line="240" w:lineRule="auto"/>
              <w:rPr>
                <w:rFonts w:ascii="Times New Roman" w:hAnsi="Times New Roman" w:cs="Times New Roman"/>
                <w:b/>
                <w:i/>
                <w:color w:val="000000" w:themeColor="text1"/>
              </w:rPr>
            </w:pPr>
            <w:r w:rsidRPr="005A130C">
              <w:rPr>
                <w:rFonts w:ascii="Times New Roman" w:hAnsi="Times New Roman" w:cs="Times New Roman"/>
                <w:b/>
                <w:bCs/>
                <w:color w:val="000000" w:themeColor="text1"/>
                <w:sz w:val="28"/>
                <w:szCs w:val="28"/>
              </w:rPr>
              <w:t> </w:t>
            </w:r>
            <w:r w:rsidRPr="005A130C">
              <w:rPr>
                <w:rFonts w:ascii="Times New Roman" w:hAnsi="Times New Roman" w:cs="Times New Roman"/>
                <w:b/>
                <w:i/>
                <w:color w:val="000000" w:themeColor="text1"/>
              </w:rPr>
              <w:t>Nơi nhận:</w:t>
            </w:r>
          </w:p>
          <w:p w:rsidR="00AE10D8" w:rsidRPr="005A130C" w:rsidRDefault="00AE10D8" w:rsidP="00261ADA">
            <w:pPr>
              <w:widowControl w:val="0"/>
              <w:spacing w:after="0" w:line="240" w:lineRule="auto"/>
              <w:rPr>
                <w:rFonts w:ascii="Times New Roman" w:hAnsi="Times New Roman" w:cs="Times New Roman"/>
                <w:color w:val="000000" w:themeColor="text1"/>
              </w:rPr>
            </w:pPr>
            <w:r w:rsidRPr="005A130C">
              <w:rPr>
                <w:rFonts w:ascii="Times New Roman" w:hAnsi="Times New Roman" w:cs="Times New Roman"/>
                <w:color w:val="000000" w:themeColor="text1"/>
              </w:rPr>
              <w:t>- Như trên;</w:t>
            </w:r>
          </w:p>
          <w:p w:rsidR="00AE10D8" w:rsidRPr="005A130C" w:rsidRDefault="00AE10D8" w:rsidP="00261ADA">
            <w:pPr>
              <w:widowControl w:val="0"/>
              <w:spacing w:after="0" w:line="240" w:lineRule="auto"/>
              <w:rPr>
                <w:rFonts w:ascii="Times New Roman" w:hAnsi="Times New Roman" w:cs="Times New Roman"/>
                <w:color w:val="000000" w:themeColor="text1"/>
              </w:rPr>
            </w:pPr>
            <w:r w:rsidRPr="005A130C">
              <w:rPr>
                <w:rFonts w:ascii="Times New Roman" w:hAnsi="Times New Roman" w:cs="Times New Roman"/>
                <w:color w:val="000000" w:themeColor="text1"/>
              </w:rPr>
              <w:t>- Thủ tướng Chính phủ;</w:t>
            </w:r>
          </w:p>
          <w:p w:rsidR="00AE10D8" w:rsidRPr="005A130C" w:rsidRDefault="00AE10D8" w:rsidP="00261ADA">
            <w:pPr>
              <w:widowControl w:val="0"/>
              <w:spacing w:after="0" w:line="240" w:lineRule="auto"/>
              <w:rPr>
                <w:rFonts w:ascii="Times New Roman" w:hAnsi="Times New Roman" w:cs="Times New Roman"/>
                <w:color w:val="000000" w:themeColor="text1"/>
              </w:rPr>
            </w:pPr>
            <w:r w:rsidRPr="005A130C">
              <w:rPr>
                <w:rFonts w:ascii="Times New Roman" w:hAnsi="Times New Roman" w:cs="Times New Roman"/>
                <w:color w:val="000000" w:themeColor="text1"/>
              </w:rPr>
              <w:t>- Các Phó Thủ tướng Chính phủ;</w:t>
            </w:r>
          </w:p>
          <w:p w:rsidR="00AE10D8" w:rsidRPr="005A130C" w:rsidRDefault="00AE10D8" w:rsidP="00261ADA">
            <w:pPr>
              <w:widowControl w:val="0"/>
              <w:spacing w:after="0" w:line="240" w:lineRule="auto"/>
              <w:rPr>
                <w:rFonts w:ascii="Times New Roman" w:hAnsi="Times New Roman" w:cs="Times New Roman"/>
                <w:color w:val="000000" w:themeColor="text1"/>
              </w:rPr>
            </w:pPr>
            <w:r w:rsidRPr="005A130C">
              <w:rPr>
                <w:rFonts w:ascii="Times New Roman" w:hAnsi="Times New Roman" w:cs="Times New Roman"/>
                <w:color w:val="000000" w:themeColor="text1"/>
              </w:rPr>
              <w:t>- Văn phòng Chính phủ;</w:t>
            </w:r>
          </w:p>
          <w:p w:rsidR="00AE10D8" w:rsidRPr="005A130C" w:rsidRDefault="00AE10D8" w:rsidP="00261ADA">
            <w:pPr>
              <w:widowControl w:val="0"/>
              <w:spacing w:after="0" w:line="240" w:lineRule="auto"/>
              <w:rPr>
                <w:rFonts w:ascii="Times New Roman" w:hAnsi="Times New Roman" w:cs="Times New Roman"/>
                <w:color w:val="000000" w:themeColor="text1"/>
              </w:rPr>
            </w:pPr>
            <w:r w:rsidRPr="005A130C">
              <w:rPr>
                <w:rFonts w:ascii="Times New Roman" w:hAnsi="Times New Roman" w:cs="Times New Roman"/>
                <w:color w:val="000000" w:themeColor="text1"/>
              </w:rPr>
              <w:t>- Bộ Tư pháp;</w:t>
            </w:r>
            <w:bookmarkStart w:id="1" w:name="_GoBack"/>
            <w:bookmarkEnd w:id="1"/>
          </w:p>
          <w:p w:rsidR="00AE10D8" w:rsidRPr="005A130C" w:rsidRDefault="00AE10D8" w:rsidP="00261ADA">
            <w:pPr>
              <w:widowControl w:val="0"/>
              <w:spacing w:after="0" w:line="240" w:lineRule="auto"/>
              <w:rPr>
                <w:rFonts w:ascii="Times New Roman" w:hAnsi="Times New Roman" w:cs="Times New Roman"/>
                <w:color w:val="000000" w:themeColor="text1"/>
              </w:rPr>
            </w:pPr>
            <w:r w:rsidRPr="005A130C">
              <w:rPr>
                <w:rFonts w:ascii="Times New Roman" w:hAnsi="Times New Roman" w:cs="Times New Roman"/>
                <w:color w:val="000000" w:themeColor="text1"/>
              </w:rPr>
              <w:t xml:space="preserve">- Lưu: VT, </w:t>
            </w:r>
            <w:r>
              <w:rPr>
                <w:rFonts w:ascii="Times New Roman" w:hAnsi="Times New Roman" w:cs="Times New Roman"/>
                <w:color w:val="000000" w:themeColor="text1"/>
                <w:lang w:val="vi-VN"/>
              </w:rPr>
              <w:t>KHCNTT</w:t>
            </w:r>
            <w:r w:rsidRPr="005A130C">
              <w:rPr>
                <w:rFonts w:ascii="Times New Roman" w:hAnsi="Times New Roman" w:cs="Times New Roman"/>
                <w:color w:val="000000" w:themeColor="text1"/>
              </w:rPr>
              <w:t>.</w:t>
            </w:r>
          </w:p>
        </w:tc>
        <w:tc>
          <w:tcPr>
            <w:tcW w:w="4177" w:type="dxa"/>
          </w:tcPr>
          <w:p w:rsidR="00AE10D8" w:rsidRDefault="00AE10D8" w:rsidP="00261ADA">
            <w:pPr>
              <w:widowControl w:val="0"/>
              <w:spacing w:after="0" w:line="240" w:lineRule="auto"/>
              <w:jc w:val="center"/>
              <w:rPr>
                <w:rFonts w:ascii="Times New Roman" w:hAnsi="Times New Roman" w:cs="Times New Roman"/>
                <w:b/>
                <w:color w:val="000000" w:themeColor="text1"/>
                <w:sz w:val="28"/>
                <w:szCs w:val="28"/>
              </w:rPr>
            </w:pPr>
            <w:r w:rsidRPr="005A130C">
              <w:rPr>
                <w:rFonts w:ascii="Times New Roman" w:hAnsi="Times New Roman" w:cs="Times New Roman"/>
                <w:b/>
                <w:color w:val="000000" w:themeColor="text1"/>
                <w:sz w:val="28"/>
                <w:szCs w:val="28"/>
              </w:rPr>
              <w:t>BỘ TRƯỞNG</w:t>
            </w:r>
          </w:p>
          <w:p w:rsidR="00AE10D8" w:rsidRPr="005A130C" w:rsidRDefault="00AE10D8" w:rsidP="00261ADA">
            <w:pPr>
              <w:widowControl w:val="0"/>
              <w:spacing w:after="0" w:line="240" w:lineRule="auto"/>
              <w:jc w:val="center"/>
              <w:rPr>
                <w:rFonts w:ascii="Times New Roman" w:hAnsi="Times New Roman" w:cs="Times New Roman"/>
                <w:b/>
                <w:color w:val="000000" w:themeColor="text1"/>
                <w:sz w:val="28"/>
                <w:szCs w:val="28"/>
              </w:rPr>
            </w:pPr>
          </w:p>
          <w:p w:rsidR="00AE10D8" w:rsidRPr="005A130C" w:rsidRDefault="00AE10D8" w:rsidP="00261ADA">
            <w:pPr>
              <w:widowControl w:val="0"/>
              <w:spacing w:after="0" w:line="240" w:lineRule="auto"/>
              <w:ind w:firstLine="720"/>
              <w:jc w:val="center"/>
              <w:rPr>
                <w:rFonts w:ascii="Times New Roman" w:hAnsi="Times New Roman" w:cs="Times New Roman"/>
                <w:b/>
                <w:color w:val="000000" w:themeColor="text1"/>
                <w:sz w:val="28"/>
                <w:szCs w:val="28"/>
              </w:rPr>
            </w:pPr>
          </w:p>
          <w:p w:rsidR="00AE10D8" w:rsidRPr="005A130C" w:rsidRDefault="00AE10D8" w:rsidP="00261ADA">
            <w:pPr>
              <w:widowControl w:val="0"/>
              <w:spacing w:after="0" w:line="240" w:lineRule="auto"/>
              <w:jc w:val="center"/>
              <w:rPr>
                <w:rFonts w:ascii="Times New Roman" w:hAnsi="Times New Roman" w:cs="Times New Roman"/>
                <w:b/>
                <w:color w:val="000000" w:themeColor="text1"/>
                <w:sz w:val="28"/>
                <w:szCs w:val="28"/>
              </w:rPr>
            </w:pPr>
          </w:p>
          <w:p w:rsidR="00AE10D8" w:rsidRDefault="00AE10D8" w:rsidP="00261ADA">
            <w:pPr>
              <w:widowControl w:val="0"/>
              <w:spacing w:after="0" w:line="240" w:lineRule="auto"/>
              <w:jc w:val="center"/>
              <w:rPr>
                <w:rFonts w:ascii="Times New Roman" w:hAnsi="Times New Roman" w:cs="Times New Roman"/>
                <w:b/>
                <w:i/>
                <w:color w:val="000000" w:themeColor="text1"/>
                <w:sz w:val="28"/>
                <w:szCs w:val="28"/>
              </w:rPr>
            </w:pPr>
          </w:p>
          <w:p w:rsidR="00AE10D8" w:rsidRPr="005A130C" w:rsidRDefault="00AE10D8" w:rsidP="00261ADA">
            <w:pPr>
              <w:widowControl w:val="0"/>
              <w:spacing w:after="0" w:line="240" w:lineRule="auto"/>
              <w:jc w:val="center"/>
              <w:rPr>
                <w:rFonts w:ascii="Times New Roman" w:hAnsi="Times New Roman" w:cs="Times New Roman"/>
                <w:b/>
                <w:i/>
                <w:color w:val="000000" w:themeColor="text1"/>
                <w:sz w:val="28"/>
                <w:szCs w:val="28"/>
              </w:rPr>
            </w:pPr>
          </w:p>
          <w:p w:rsidR="00AE10D8" w:rsidRPr="005A130C" w:rsidRDefault="00AE10D8" w:rsidP="00261ADA">
            <w:pPr>
              <w:widowControl w:val="0"/>
              <w:spacing w:after="0" w:line="240" w:lineRule="auto"/>
              <w:jc w:val="center"/>
              <w:rPr>
                <w:rFonts w:ascii="Times New Roman" w:hAnsi="Times New Roman" w:cs="Times New Roman"/>
                <w:b/>
                <w:color w:val="000000" w:themeColor="text1"/>
                <w:sz w:val="28"/>
                <w:szCs w:val="28"/>
              </w:rPr>
            </w:pPr>
          </w:p>
          <w:p w:rsidR="00AE10D8" w:rsidRPr="005A130C" w:rsidRDefault="00AE10D8" w:rsidP="00261ADA">
            <w:pPr>
              <w:widowControl w:val="0"/>
              <w:spacing w:after="0" w:line="240" w:lineRule="auto"/>
              <w:jc w:val="center"/>
              <w:rPr>
                <w:rFonts w:ascii="Times New Roman" w:hAnsi="Times New Roman" w:cs="Times New Roman"/>
                <w:b/>
                <w:color w:val="000000" w:themeColor="text1"/>
                <w:sz w:val="28"/>
                <w:szCs w:val="28"/>
              </w:rPr>
            </w:pPr>
          </w:p>
          <w:p w:rsidR="00AE10D8" w:rsidRPr="005A130C" w:rsidRDefault="00AE10D8" w:rsidP="00261ADA">
            <w:pPr>
              <w:widowControl w:val="0"/>
              <w:spacing w:after="0" w:line="240" w:lineRule="auto"/>
              <w:ind w:firstLine="19"/>
              <w:jc w:val="center"/>
              <w:rPr>
                <w:rFonts w:ascii="Times New Roman" w:hAnsi="Times New Roman" w:cs="Times New Roman"/>
                <w:b/>
                <w:color w:val="000000" w:themeColor="text1"/>
                <w:sz w:val="28"/>
                <w:szCs w:val="28"/>
              </w:rPr>
            </w:pPr>
            <w:r w:rsidRPr="005A130C">
              <w:rPr>
                <w:rFonts w:ascii="Times New Roman" w:hAnsi="Times New Roman" w:cs="Times New Roman"/>
                <w:b/>
                <w:color w:val="000000" w:themeColor="text1"/>
                <w:sz w:val="28"/>
                <w:szCs w:val="28"/>
              </w:rPr>
              <w:t xml:space="preserve">Nguyễn </w:t>
            </w:r>
            <w:r>
              <w:rPr>
                <w:rFonts w:ascii="Times New Roman" w:hAnsi="Times New Roman" w:cs="Times New Roman"/>
                <w:b/>
                <w:color w:val="000000" w:themeColor="text1"/>
                <w:sz w:val="28"/>
                <w:szCs w:val="28"/>
              </w:rPr>
              <w:t>Kim Sơn</w:t>
            </w:r>
          </w:p>
          <w:p w:rsidR="00AE10D8" w:rsidRPr="005A130C" w:rsidRDefault="00AE10D8" w:rsidP="00261ADA">
            <w:pPr>
              <w:widowControl w:val="0"/>
              <w:spacing w:after="0" w:line="240" w:lineRule="auto"/>
              <w:ind w:firstLine="19"/>
              <w:jc w:val="center"/>
              <w:rPr>
                <w:rFonts w:ascii="Times New Roman" w:hAnsi="Times New Roman" w:cs="Times New Roman"/>
                <w:b/>
                <w:color w:val="000000" w:themeColor="text1"/>
                <w:sz w:val="26"/>
                <w:szCs w:val="26"/>
              </w:rPr>
            </w:pPr>
          </w:p>
          <w:p w:rsidR="00AE10D8" w:rsidRPr="005A130C" w:rsidRDefault="00AE10D8" w:rsidP="00261ADA">
            <w:pPr>
              <w:widowControl w:val="0"/>
              <w:spacing w:after="0" w:line="240" w:lineRule="auto"/>
              <w:ind w:firstLine="19"/>
              <w:jc w:val="center"/>
              <w:rPr>
                <w:rFonts w:ascii="Times New Roman" w:hAnsi="Times New Roman" w:cs="Times New Roman"/>
                <w:b/>
                <w:color w:val="000000" w:themeColor="text1"/>
                <w:sz w:val="26"/>
                <w:szCs w:val="26"/>
              </w:rPr>
            </w:pPr>
          </w:p>
          <w:p w:rsidR="00AE10D8" w:rsidRPr="005A130C" w:rsidRDefault="00AE10D8" w:rsidP="00261ADA">
            <w:pPr>
              <w:widowControl w:val="0"/>
              <w:spacing w:after="0" w:line="240" w:lineRule="auto"/>
              <w:ind w:firstLine="19"/>
              <w:jc w:val="center"/>
              <w:rPr>
                <w:rFonts w:ascii="Times New Roman" w:hAnsi="Times New Roman" w:cs="Times New Roman"/>
                <w:b/>
                <w:color w:val="000000" w:themeColor="text1"/>
                <w:sz w:val="26"/>
                <w:szCs w:val="26"/>
              </w:rPr>
            </w:pPr>
          </w:p>
        </w:tc>
      </w:tr>
    </w:tbl>
    <w:p w:rsidR="00CE3996" w:rsidRPr="00CE3996" w:rsidRDefault="00CE3996" w:rsidP="00516CA9">
      <w:pPr>
        <w:spacing w:after="0" w:line="240" w:lineRule="auto"/>
        <w:ind w:firstLine="720"/>
        <w:jc w:val="both"/>
        <w:rPr>
          <w:rFonts w:ascii="Times New Roman" w:eastAsia="Times New Roman" w:hAnsi="Times New Roman" w:cs="Times New Roman"/>
          <w:bCs/>
          <w:sz w:val="28"/>
          <w:szCs w:val="28"/>
          <w:lang w:val="vi-VN"/>
        </w:rPr>
      </w:pPr>
    </w:p>
    <w:sectPr w:rsidR="00CE3996" w:rsidRPr="00CE399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A13" w:rsidRDefault="00F21A13" w:rsidP="00B1207C">
      <w:pPr>
        <w:spacing w:after="0" w:line="240" w:lineRule="auto"/>
      </w:pPr>
      <w:r>
        <w:separator/>
      </w:r>
    </w:p>
  </w:endnote>
  <w:endnote w:type="continuationSeparator" w:id="0">
    <w:p w:rsidR="00F21A13" w:rsidRDefault="00F21A13" w:rsidP="00B1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A13" w:rsidRDefault="00F21A13" w:rsidP="00B1207C">
      <w:pPr>
        <w:spacing w:after="0" w:line="240" w:lineRule="auto"/>
      </w:pPr>
      <w:r>
        <w:separator/>
      </w:r>
    </w:p>
  </w:footnote>
  <w:footnote w:type="continuationSeparator" w:id="0">
    <w:p w:rsidR="00F21A13" w:rsidRDefault="00F21A13" w:rsidP="00B1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586821"/>
      <w:docPartObj>
        <w:docPartGallery w:val="Page Numbers (Top of Page)"/>
        <w:docPartUnique/>
      </w:docPartObj>
    </w:sdtPr>
    <w:sdtEndPr>
      <w:rPr>
        <w:noProof/>
      </w:rPr>
    </w:sdtEndPr>
    <w:sdtContent>
      <w:p w:rsidR="00545D7B" w:rsidRDefault="00545D7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45D7B" w:rsidRDefault="00545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2E8"/>
    <w:multiLevelType w:val="multilevel"/>
    <w:tmpl w:val="3A1C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869"/>
    <w:multiLevelType w:val="hybridMultilevel"/>
    <w:tmpl w:val="FFE6A954"/>
    <w:lvl w:ilvl="0" w:tplc="86E68A9C">
      <w:start w:val="4"/>
      <w:numFmt w:val="low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D6F05"/>
    <w:multiLevelType w:val="multilevel"/>
    <w:tmpl w:val="C9C6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A7C0E"/>
    <w:multiLevelType w:val="multilevel"/>
    <w:tmpl w:val="0C1A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9534A"/>
    <w:multiLevelType w:val="multilevel"/>
    <w:tmpl w:val="E640B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B65B9"/>
    <w:multiLevelType w:val="multilevel"/>
    <w:tmpl w:val="78DC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E226E"/>
    <w:multiLevelType w:val="multilevel"/>
    <w:tmpl w:val="2818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54C6F"/>
    <w:multiLevelType w:val="multilevel"/>
    <w:tmpl w:val="17A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F153F"/>
    <w:multiLevelType w:val="multilevel"/>
    <w:tmpl w:val="84D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53B96"/>
    <w:multiLevelType w:val="multilevel"/>
    <w:tmpl w:val="39F6E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52827"/>
    <w:multiLevelType w:val="hybridMultilevel"/>
    <w:tmpl w:val="E030354C"/>
    <w:lvl w:ilvl="0" w:tplc="D7E0436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D5083E"/>
    <w:multiLevelType w:val="hybridMultilevel"/>
    <w:tmpl w:val="0AB8B432"/>
    <w:lvl w:ilvl="0" w:tplc="707C9F2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C87AE9"/>
    <w:multiLevelType w:val="multilevel"/>
    <w:tmpl w:val="1E9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C340E"/>
    <w:multiLevelType w:val="multilevel"/>
    <w:tmpl w:val="85E08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82676"/>
    <w:multiLevelType w:val="multilevel"/>
    <w:tmpl w:val="4FF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27741"/>
    <w:multiLevelType w:val="multilevel"/>
    <w:tmpl w:val="8C9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277AA"/>
    <w:multiLevelType w:val="hybridMultilevel"/>
    <w:tmpl w:val="5B764588"/>
    <w:lvl w:ilvl="0" w:tplc="812622C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C60A75"/>
    <w:multiLevelType w:val="multilevel"/>
    <w:tmpl w:val="C29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430CB"/>
    <w:multiLevelType w:val="multilevel"/>
    <w:tmpl w:val="2CB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7530F"/>
    <w:multiLevelType w:val="multilevel"/>
    <w:tmpl w:val="748E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524E5"/>
    <w:multiLevelType w:val="multilevel"/>
    <w:tmpl w:val="26B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8178B"/>
    <w:multiLevelType w:val="multilevel"/>
    <w:tmpl w:val="E226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73652"/>
    <w:multiLevelType w:val="multilevel"/>
    <w:tmpl w:val="51885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639F0"/>
    <w:multiLevelType w:val="hybridMultilevel"/>
    <w:tmpl w:val="225A33FE"/>
    <w:lvl w:ilvl="0" w:tplc="B6FA0474">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4A32AF"/>
    <w:multiLevelType w:val="hybridMultilevel"/>
    <w:tmpl w:val="6D0262CC"/>
    <w:lvl w:ilvl="0" w:tplc="4A8087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114BF3"/>
    <w:multiLevelType w:val="multilevel"/>
    <w:tmpl w:val="C362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866C3"/>
    <w:multiLevelType w:val="multilevel"/>
    <w:tmpl w:val="13E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24036"/>
    <w:multiLevelType w:val="hybridMultilevel"/>
    <w:tmpl w:val="273800F6"/>
    <w:lvl w:ilvl="0" w:tplc="1984456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24"/>
  </w:num>
  <w:num w:numId="4">
    <w:abstractNumId w:val="1"/>
  </w:num>
  <w:num w:numId="5">
    <w:abstractNumId w:val="23"/>
  </w:num>
  <w:num w:numId="6">
    <w:abstractNumId w:val="10"/>
  </w:num>
  <w:num w:numId="7">
    <w:abstractNumId w:val="13"/>
  </w:num>
  <w:num w:numId="8">
    <w:abstractNumId w:val="4"/>
  </w:num>
  <w:num w:numId="9">
    <w:abstractNumId w:val="9"/>
  </w:num>
  <w:num w:numId="10">
    <w:abstractNumId w:val="27"/>
  </w:num>
  <w:num w:numId="11">
    <w:abstractNumId w:val="22"/>
  </w:num>
  <w:num w:numId="12">
    <w:abstractNumId w:val="5"/>
  </w:num>
  <w:num w:numId="13">
    <w:abstractNumId w:val="15"/>
  </w:num>
  <w:num w:numId="14">
    <w:abstractNumId w:val="17"/>
  </w:num>
  <w:num w:numId="15">
    <w:abstractNumId w:val="8"/>
  </w:num>
  <w:num w:numId="16">
    <w:abstractNumId w:val="18"/>
  </w:num>
  <w:num w:numId="17">
    <w:abstractNumId w:val="21"/>
  </w:num>
  <w:num w:numId="18">
    <w:abstractNumId w:val="7"/>
  </w:num>
  <w:num w:numId="19">
    <w:abstractNumId w:val="6"/>
  </w:num>
  <w:num w:numId="20">
    <w:abstractNumId w:val="19"/>
  </w:num>
  <w:num w:numId="21">
    <w:abstractNumId w:val="14"/>
  </w:num>
  <w:num w:numId="22">
    <w:abstractNumId w:val="20"/>
  </w:num>
  <w:num w:numId="23">
    <w:abstractNumId w:val="12"/>
  </w:num>
  <w:num w:numId="24">
    <w:abstractNumId w:val="25"/>
  </w:num>
  <w:num w:numId="25">
    <w:abstractNumId w:val="26"/>
  </w:num>
  <w:num w:numId="26">
    <w:abstractNumId w:val="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9"/>
    <w:rsid w:val="00022A81"/>
    <w:rsid w:val="000616A4"/>
    <w:rsid w:val="000800A0"/>
    <w:rsid w:val="000B2097"/>
    <w:rsid w:val="000C774A"/>
    <w:rsid w:val="000F15B4"/>
    <w:rsid w:val="001F171F"/>
    <w:rsid w:val="002619EF"/>
    <w:rsid w:val="002B689F"/>
    <w:rsid w:val="002C756F"/>
    <w:rsid w:val="002D377F"/>
    <w:rsid w:val="003039C5"/>
    <w:rsid w:val="00351C34"/>
    <w:rsid w:val="0038200B"/>
    <w:rsid w:val="003C154F"/>
    <w:rsid w:val="004070D0"/>
    <w:rsid w:val="004073FB"/>
    <w:rsid w:val="0042454B"/>
    <w:rsid w:val="00426106"/>
    <w:rsid w:val="0047251D"/>
    <w:rsid w:val="004E19C3"/>
    <w:rsid w:val="00516CA9"/>
    <w:rsid w:val="00545D7B"/>
    <w:rsid w:val="005522C3"/>
    <w:rsid w:val="00567F61"/>
    <w:rsid w:val="00591A4A"/>
    <w:rsid w:val="005A5CA4"/>
    <w:rsid w:val="005D3B23"/>
    <w:rsid w:val="005D5EFB"/>
    <w:rsid w:val="00617CEF"/>
    <w:rsid w:val="006B60DC"/>
    <w:rsid w:val="0073277A"/>
    <w:rsid w:val="00752B5D"/>
    <w:rsid w:val="00765FA5"/>
    <w:rsid w:val="00841671"/>
    <w:rsid w:val="00850E12"/>
    <w:rsid w:val="00872871"/>
    <w:rsid w:val="008B64D2"/>
    <w:rsid w:val="008C67B7"/>
    <w:rsid w:val="0090733F"/>
    <w:rsid w:val="009F727D"/>
    <w:rsid w:val="00A147B9"/>
    <w:rsid w:val="00A23171"/>
    <w:rsid w:val="00A250E7"/>
    <w:rsid w:val="00A54A0C"/>
    <w:rsid w:val="00A84832"/>
    <w:rsid w:val="00A922D9"/>
    <w:rsid w:val="00AD4D7B"/>
    <w:rsid w:val="00AE10D8"/>
    <w:rsid w:val="00AE3982"/>
    <w:rsid w:val="00B111D4"/>
    <w:rsid w:val="00B1207C"/>
    <w:rsid w:val="00B31DE3"/>
    <w:rsid w:val="00BB2EAB"/>
    <w:rsid w:val="00BF7943"/>
    <w:rsid w:val="00C17E24"/>
    <w:rsid w:val="00C668B6"/>
    <w:rsid w:val="00C86FB7"/>
    <w:rsid w:val="00CE3996"/>
    <w:rsid w:val="00D035F9"/>
    <w:rsid w:val="00DA431F"/>
    <w:rsid w:val="00DC1F48"/>
    <w:rsid w:val="00DD5548"/>
    <w:rsid w:val="00DE04F5"/>
    <w:rsid w:val="00E17205"/>
    <w:rsid w:val="00E21C97"/>
    <w:rsid w:val="00E46528"/>
    <w:rsid w:val="00E51149"/>
    <w:rsid w:val="00E8648E"/>
    <w:rsid w:val="00EB6F72"/>
    <w:rsid w:val="00EE291A"/>
    <w:rsid w:val="00F21A13"/>
    <w:rsid w:val="00F23E7F"/>
    <w:rsid w:val="00F74AAB"/>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04D8"/>
  <w15:chartTrackingRefBased/>
  <w15:docId w15:val="{4F4C77A1-FCD6-4355-87EA-A5C46925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F1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27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E12"/>
    <w:pPr>
      <w:ind w:left="720"/>
      <w:contextualSpacing/>
    </w:pPr>
  </w:style>
  <w:style w:type="paragraph" w:styleId="NormalWeb">
    <w:name w:val="Normal (Web)"/>
    <w:basedOn w:val="Normal"/>
    <w:uiPriority w:val="99"/>
    <w:unhideWhenUsed/>
    <w:rsid w:val="00C86F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6FB7"/>
    <w:rPr>
      <w:b/>
      <w:bCs/>
    </w:rPr>
  </w:style>
  <w:style w:type="character" w:customStyle="1" w:styleId="Heading3Char">
    <w:name w:val="Heading 3 Char"/>
    <w:basedOn w:val="DefaultParagraphFont"/>
    <w:link w:val="Heading3"/>
    <w:uiPriority w:val="9"/>
    <w:semiHidden/>
    <w:rsid w:val="0073277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0F15B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12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07C"/>
    <w:rPr>
      <w:sz w:val="20"/>
      <w:szCs w:val="20"/>
    </w:rPr>
  </w:style>
  <w:style w:type="character" w:styleId="FootnoteReference">
    <w:name w:val="footnote reference"/>
    <w:basedOn w:val="DefaultParagraphFont"/>
    <w:uiPriority w:val="99"/>
    <w:semiHidden/>
    <w:unhideWhenUsed/>
    <w:rsid w:val="00B1207C"/>
    <w:rPr>
      <w:vertAlign w:val="superscript"/>
    </w:rPr>
  </w:style>
  <w:style w:type="paragraph" w:styleId="Header">
    <w:name w:val="header"/>
    <w:basedOn w:val="Normal"/>
    <w:link w:val="HeaderChar"/>
    <w:uiPriority w:val="99"/>
    <w:unhideWhenUsed/>
    <w:rsid w:val="00765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FA5"/>
  </w:style>
  <w:style w:type="paragraph" w:styleId="Footer">
    <w:name w:val="footer"/>
    <w:basedOn w:val="Normal"/>
    <w:link w:val="FooterChar"/>
    <w:uiPriority w:val="99"/>
    <w:unhideWhenUsed/>
    <w:rsid w:val="00765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FA5"/>
  </w:style>
  <w:style w:type="table" w:styleId="TableGrid">
    <w:name w:val="Table Grid"/>
    <w:basedOn w:val="TableNormal"/>
    <w:uiPriority w:val="39"/>
    <w:rsid w:val="00F7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084">
      <w:bodyDiv w:val="1"/>
      <w:marLeft w:val="0"/>
      <w:marRight w:val="0"/>
      <w:marTop w:val="0"/>
      <w:marBottom w:val="0"/>
      <w:divBdr>
        <w:top w:val="none" w:sz="0" w:space="0" w:color="auto"/>
        <w:left w:val="none" w:sz="0" w:space="0" w:color="auto"/>
        <w:bottom w:val="none" w:sz="0" w:space="0" w:color="auto"/>
        <w:right w:val="none" w:sz="0" w:space="0" w:color="auto"/>
      </w:divBdr>
    </w:div>
    <w:div w:id="74866779">
      <w:bodyDiv w:val="1"/>
      <w:marLeft w:val="0"/>
      <w:marRight w:val="0"/>
      <w:marTop w:val="0"/>
      <w:marBottom w:val="0"/>
      <w:divBdr>
        <w:top w:val="none" w:sz="0" w:space="0" w:color="auto"/>
        <w:left w:val="none" w:sz="0" w:space="0" w:color="auto"/>
        <w:bottom w:val="none" w:sz="0" w:space="0" w:color="auto"/>
        <w:right w:val="none" w:sz="0" w:space="0" w:color="auto"/>
      </w:divBdr>
    </w:div>
    <w:div w:id="82454186">
      <w:bodyDiv w:val="1"/>
      <w:marLeft w:val="0"/>
      <w:marRight w:val="0"/>
      <w:marTop w:val="0"/>
      <w:marBottom w:val="0"/>
      <w:divBdr>
        <w:top w:val="none" w:sz="0" w:space="0" w:color="auto"/>
        <w:left w:val="none" w:sz="0" w:space="0" w:color="auto"/>
        <w:bottom w:val="none" w:sz="0" w:space="0" w:color="auto"/>
        <w:right w:val="none" w:sz="0" w:space="0" w:color="auto"/>
      </w:divBdr>
    </w:div>
    <w:div w:id="102961963">
      <w:bodyDiv w:val="1"/>
      <w:marLeft w:val="0"/>
      <w:marRight w:val="0"/>
      <w:marTop w:val="0"/>
      <w:marBottom w:val="0"/>
      <w:divBdr>
        <w:top w:val="none" w:sz="0" w:space="0" w:color="auto"/>
        <w:left w:val="none" w:sz="0" w:space="0" w:color="auto"/>
        <w:bottom w:val="none" w:sz="0" w:space="0" w:color="auto"/>
        <w:right w:val="none" w:sz="0" w:space="0" w:color="auto"/>
      </w:divBdr>
    </w:div>
    <w:div w:id="125046462">
      <w:bodyDiv w:val="1"/>
      <w:marLeft w:val="0"/>
      <w:marRight w:val="0"/>
      <w:marTop w:val="0"/>
      <w:marBottom w:val="0"/>
      <w:divBdr>
        <w:top w:val="none" w:sz="0" w:space="0" w:color="auto"/>
        <w:left w:val="none" w:sz="0" w:space="0" w:color="auto"/>
        <w:bottom w:val="none" w:sz="0" w:space="0" w:color="auto"/>
        <w:right w:val="none" w:sz="0" w:space="0" w:color="auto"/>
      </w:divBdr>
    </w:div>
    <w:div w:id="172651360">
      <w:bodyDiv w:val="1"/>
      <w:marLeft w:val="0"/>
      <w:marRight w:val="0"/>
      <w:marTop w:val="0"/>
      <w:marBottom w:val="0"/>
      <w:divBdr>
        <w:top w:val="none" w:sz="0" w:space="0" w:color="auto"/>
        <w:left w:val="none" w:sz="0" w:space="0" w:color="auto"/>
        <w:bottom w:val="none" w:sz="0" w:space="0" w:color="auto"/>
        <w:right w:val="none" w:sz="0" w:space="0" w:color="auto"/>
      </w:divBdr>
    </w:div>
    <w:div w:id="191848115">
      <w:bodyDiv w:val="1"/>
      <w:marLeft w:val="0"/>
      <w:marRight w:val="0"/>
      <w:marTop w:val="0"/>
      <w:marBottom w:val="0"/>
      <w:divBdr>
        <w:top w:val="none" w:sz="0" w:space="0" w:color="auto"/>
        <w:left w:val="none" w:sz="0" w:space="0" w:color="auto"/>
        <w:bottom w:val="none" w:sz="0" w:space="0" w:color="auto"/>
        <w:right w:val="none" w:sz="0" w:space="0" w:color="auto"/>
      </w:divBdr>
    </w:div>
    <w:div w:id="226772325">
      <w:bodyDiv w:val="1"/>
      <w:marLeft w:val="0"/>
      <w:marRight w:val="0"/>
      <w:marTop w:val="0"/>
      <w:marBottom w:val="0"/>
      <w:divBdr>
        <w:top w:val="none" w:sz="0" w:space="0" w:color="auto"/>
        <w:left w:val="none" w:sz="0" w:space="0" w:color="auto"/>
        <w:bottom w:val="none" w:sz="0" w:space="0" w:color="auto"/>
        <w:right w:val="none" w:sz="0" w:space="0" w:color="auto"/>
      </w:divBdr>
    </w:div>
    <w:div w:id="229074525">
      <w:bodyDiv w:val="1"/>
      <w:marLeft w:val="0"/>
      <w:marRight w:val="0"/>
      <w:marTop w:val="0"/>
      <w:marBottom w:val="0"/>
      <w:divBdr>
        <w:top w:val="none" w:sz="0" w:space="0" w:color="auto"/>
        <w:left w:val="none" w:sz="0" w:space="0" w:color="auto"/>
        <w:bottom w:val="none" w:sz="0" w:space="0" w:color="auto"/>
        <w:right w:val="none" w:sz="0" w:space="0" w:color="auto"/>
      </w:divBdr>
    </w:div>
    <w:div w:id="269162393">
      <w:bodyDiv w:val="1"/>
      <w:marLeft w:val="0"/>
      <w:marRight w:val="0"/>
      <w:marTop w:val="0"/>
      <w:marBottom w:val="0"/>
      <w:divBdr>
        <w:top w:val="none" w:sz="0" w:space="0" w:color="auto"/>
        <w:left w:val="none" w:sz="0" w:space="0" w:color="auto"/>
        <w:bottom w:val="none" w:sz="0" w:space="0" w:color="auto"/>
        <w:right w:val="none" w:sz="0" w:space="0" w:color="auto"/>
      </w:divBdr>
    </w:div>
    <w:div w:id="301815927">
      <w:bodyDiv w:val="1"/>
      <w:marLeft w:val="0"/>
      <w:marRight w:val="0"/>
      <w:marTop w:val="0"/>
      <w:marBottom w:val="0"/>
      <w:divBdr>
        <w:top w:val="none" w:sz="0" w:space="0" w:color="auto"/>
        <w:left w:val="none" w:sz="0" w:space="0" w:color="auto"/>
        <w:bottom w:val="none" w:sz="0" w:space="0" w:color="auto"/>
        <w:right w:val="none" w:sz="0" w:space="0" w:color="auto"/>
      </w:divBdr>
    </w:div>
    <w:div w:id="303894379">
      <w:bodyDiv w:val="1"/>
      <w:marLeft w:val="0"/>
      <w:marRight w:val="0"/>
      <w:marTop w:val="0"/>
      <w:marBottom w:val="0"/>
      <w:divBdr>
        <w:top w:val="none" w:sz="0" w:space="0" w:color="auto"/>
        <w:left w:val="none" w:sz="0" w:space="0" w:color="auto"/>
        <w:bottom w:val="none" w:sz="0" w:space="0" w:color="auto"/>
        <w:right w:val="none" w:sz="0" w:space="0" w:color="auto"/>
      </w:divBdr>
    </w:div>
    <w:div w:id="304744692">
      <w:bodyDiv w:val="1"/>
      <w:marLeft w:val="0"/>
      <w:marRight w:val="0"/>
      <w:marTop w:val="0"/>
      <w:marBottom w:val="0"/>
      <w:divBdr>
        <w:top w:val="none" w:sz="0" w:space="0" w:color="auto"/>
        <w:left w:val="none" w:sz="0" w:space="0" w:color="auto"/>
        <w:bottom w:val="none" w:sz="0" w:space="0" w:color="auto"/>
        <w:right w:val="none" w:sz="0" w:space="0" w:color="auto"/>
      </w:divBdr>
    </w:div>
    <w:div w:id="376441974">
      <w:bodyDiv w:val="1"/>
      <w:marLeft w:val="0"/>
      <w:marRight w:val="0"/>
      <w:marTop w:val="0"/>
      <w:marBottom w:val="0"/>
      <w:divBdr>
        <w:top w:val="none" w:sz="0" w:space="0" w:color="auto"/>
        <w:left w:val="none" w:sz="0" w:space="0" w:color="auto"/>
        <w:bottom w:val="none" w:sz="0" w:space="0" w:color="auto"/>
        <w:right w:val="none" w:sz="0" w:space="0" w:color="auto"/>
      </w:divBdr>
    </w:div>
    <w:div w:id="393890047">
      <w:bodyDiv w:val="1"/>
      <w:marLeft w:val="0"/>
      <w:marRight w:val="0"/>
      <w:marTop w:val="0"/>
      <w:marBottom w:val="0"/>
      <w:divBdr>
        <w:top w:val="none" w:sz="0" w:space="0" w:color="auto"/>
        <w:left w:val="none" w:sz="0" w:space="0" w:color="auto"/>
        <w:bottom w:val="none" w:sz="0" w:space="0" w:color="auto"/>
        <w:right w:val="none" w:sz="0" w:space="0" w:color="auto"/>
      </w:divBdr>
    </w:div>
    <w:div w:id="399795184">
      <w:bodyDiv w:val="1"/>
      <w:marLeft w:val="0"/>
      <w:marRight w:val="0"/>
      <w:marTop w:val="0"/>
      <w:marBottom w:val="0"/>
      <w:divBdr>
        <w:top w:val="none" w:sz="0" w:space="0" w:color="auto"/>
        <w:left w:val="none" w:sz="0" w:space="0" w:color="auto"/>
        <w:bottom w:val="none" w:sz="0" w:space="0" w:color="auto"/>
        <w:right w:val="none" w:sz="0" w:space="0" w:color="auto"/>
      </w:divBdr>
    </w:div>
    <w:div w:id="400755106">
      <w:bodyDiv w:val="1"/>
      <w:marLeft w:val="0"/>
      <w:marRight w:val="0"/>
      <w:marTop w:val="0"/>
      <w:marBottom w:val="0"/>
      <w:divBdr>
        <w:top w:val="none" w:sz="0" w:space="0" w:color="auto"/>
        <w:left w:val="none" w:sz="0" w:space="0" w:color="auto"/>
        <w:bottom w:val="none" w:sz="0" w:space="0" w:color="auto"/>
        <w:right w:val="none" w:sz="0" w:space="0" w:color="auto"/>
      </w:divBdr>
    </w:div>
    <w:div w:id="404767729">
      <w:bodyDiv w:val="1"/>
      <w:marLeft w:val="0"/>
      <w:marRight w:val="0"/>
      <w:marTop w:val="0"/>
      <w:marBottom w:val="0"/>
      <w:divBdr>
        <w:top w:val="none" w:sz="0" w:space="0" w:color="auto"/>
        <w:left w:val="none" w:sz="0" w:space="0" w:color="auto"/>
        <w:bottom w:val="none" w:sz="0" w:space="0" w:color="auto"/>
        <w:right w:val="none" w:sz="0" w:space="0" w:color="auto"/>
      </w:divBdr>
    </w:div>
    <w:div w:id="442114139">
      <w:bodyDiv w:val="1"/>
      <w:marLeft w:val="0"/>
      <w:marRight w:val="0"/>
      <w:marTop w:val="0"/>
      <w:marBottom w:val="0"/>
      <w:divBdr>
        <w:top w:val="none" w:sz="0" w:space="0" w:color="auto"/>
        <w:left w:val="none" w:sz="0" w:space="0" w:color="auto"/>
        <w:bottom w:val="none" w:sz="0" w:space="0" w:color="auto"/>
        <w:right w:val="none" w:sz="0" w:space="0" w:color="auto"/>
      </w:divBdr>
    </w:div>
    <w:div w:id="457063865">
      <w:bodyDiv w:val="1"/>
      <w:marLeft w:val="0"/>
      <w:marRight w:val="0"/>
      <w:marTop w:val="0"/>
      <w:marBottom w:val="0"/>
      <w:divBdr>
        <w:top w:val="none" w:sz="0" w:space="0" w:color="auto"/>
        <w:left w:val="none" w:sz="0" w:space="0" w:color="auto"/>
        <w:bottom w:val="none" w:sz="0" w:space="0" w:color="auto"/>
        <w:right w:val="none" w:sz="0" w:space="0" w:color="auto"/>
      </w:divBdr>
    </w:div>
    <w:div w:id="459812347">
      <w:bodyDiv w:val="1"/>
      <w:marLeft w:val="0"/>
      <w:marRight w:val="0"/>
      <w:marTop w:val="0"/>
      <w:marBottom w:val="0"/>
      <w:divBdr>
        <w:top w:val="none" w:sz="0" w:space="0" w:color="auto"/>
        <w:left w:val="none" w:sz="0" w:space="0" w:color="auto"/>
        <w:bottom w:val="none" w:sz="0" w:space="0" w:color="auto"/>
        <w:right w:val="none" w:sz="0" w:space="0" w:color="auto"/>
      </w:divBdr>
    </w:div>
    <w:div w:id="466513980">
      <w:bodyDiv w:val="1"/>
      <w:marLeft w:val="0"/>
      <w:marRight w:val="0"/>
      <w:marTop w:val="0"/>
      <w:marBottom w:val="0"/>
      <w:divBdr>
        <w:top w:val="none" w:sz="0" w:space="0" w:color="auto"/>
        <w:left w:val="none" w:sz="0" w:space="0" w:color="auto"/>
        <w:bottom w:val="none" w:sz="0" w:space="0" w:color="auto"/>
        <w:right w:val="none" w:sz="0" w:space="0" w:color="auto"/>
      </w:divBdr>
    </w:div>
    <w:div w:id="503399066">
      <w:bodyDiv w:val="1"/>
      <w:marLeft w:val="0"/>
      <w:marRight w:val="0"/>
      <w:marTop w:val="0"/>
      <w:marBottom w:val="0"/>
      <w:divBdr>
        <w:top w:val="none" w:sz="0" w:space="0" w:color="auto"/>
        <w:left w:val="none" w:sz="0" w:space="0" w:color="auto"/>
        <w:bottom w:val="none" w:sz="0" w:space="0" w:color="auto"/>
        <w:right w:val="none" w:sz="0" w:space="0" w:color="auto"/>
      </w:divBdr>
    </w:div>
    <w:div w:id="507453116">
      <w:bodyDiv w:val="1"/>
      <w:marLeft w:val="0"/>
      <w:marRight w:val="0"/>
      <w:marTop w:val="0"/>
      <w:marBottom w:val="0"/>
      <w:divBdr>
        <w:top w:val="none" w:sz="0" w:space="0" w:color="auto"/>
        <w:left w:val="none" w:sz="0" w:space="0" w:color="auto"/>
        <w:bottom w:val="none" w:sz="0" w:space="0" w:color="auto"/>
        <w:right w:val="none" w:sz="0" w:space="0" w:color="auto"/>
      </w:divBdr>
    </w:div>
    <w:div w:id="562716586">
      <w:bodyDiv w:val="1"/>
      <w:marLeft w:val="0"/>
      <w:marRight w:val="0"/>
      <w:marTop w:val="0"/>
      <w:marBottom w:val="0"/>
      <w:divBdr>
        <w:top w:val="none" w:sz="0" w:space="0" w:color="auto"/>
        <w:left w:val="none" w:sz="0" w:space="0" w:color="auto"/>
        <w:bottom w:val="none" w:sz="0" w:space="0" w:color="auto"/>
        <w:right w:val="none" w:sz="0" w:space="0" w:color="auto"/>
      </w:divBdr>
    </w:div>
    <w:div w:id="564150645">
      <w:bodyDiv w:val="1"/>
      <w:marLeft w:val="0"/>
      <w:marRight w:val="0"/>
      <w:marTop w:val="0"/>
      <w:marBottom w:val="0"/>
      <w:divBdr>
        <w:top w:val="none" w:sz="0" w:space="0" w:color="auto"/>
        <w:left w:val="none" w:sz="0" w:space="0" w:color="auto"/>
        <w:bottom w:val="none" w:sz="0" w:space="0" w:color="auto"/>
        <w:right w:val="none" w:sz="0" w:space="0" w:color="auto"/>
      </w:divBdr>
    </w:div>
    <w:div w:id="583729303">
      <w:bodyDiv w:val="1"/>
      <w:marLeft w:val="0"/>
      <w:marRight w:val="0"/>
      <w:marTop w:val="0"/>
      <w:marBottom w:val="0"/>
      <w:divBdr>
        <w:top w:val="none" w:sz="0" w:space="0" w:color="auto"/>
        <w:left w:val="none" w:sz="0" w:space="0" w:color="auto"/>
        <w:bottom w:val="none" w:sz="0" w:space="0" w:color="auto"/>
        <w:right w:val="none" w:sz="0" w:space="0" w:color="auto"/>
      </w:divBdr>
    </w:div>
    <w:div w:id="585726055">
      <w:bodyDiv w:val="1"/>
      <w:marLeft w:val="0"/>
      <w:marRight w:val="0"/>
      <w:marTop w:val="0"/>
      <w:marBottom w:val="0"/>
      <w:divBdr>
        <w:top w:val="none" w:sz="0" w:space="0" w:color="auto"/>
        <w:left w:val="none" w:sz="0" w:space="0" w:color="auto"/>
        <w:bottom w:val="none" w:sz="0" w:space="0" w:color="auto"/>
        <w:right w:val="none" w:sz="0" w:space="0" w:color="auto"/>
      </w:divBdr>
    </w:div>
    <w:div w:id="647782526">
      <w:bodyDiv w:val="1"/>
      <w:marLeft w:val="0"/>
      <w:marRight w:val="0"/>
      <w:marTop w:val="0"/>
      <w:marBottom w:val="0"/>
      <w:divBdr>
        <w:top w:val="none" w:sz="0" w:space="0" w:color="auto"/>
        <w:left w:val="none" w:sz="0" w:space="0" w:color="auto"/>
        <w:bottom w:val="none" w:sz="0" w:space="0" w:color="auto"/>
        <w:right w:val="none" w:sz="0" w:space="0" w:color="auto"/>
      </w:divBdr>
    </w:div>
    <w:div w:id="652687270">
      <w:bodyDiv w:val="1"/>
      <w:marLeft w:val="0"/>
      <w:marRight w:val="0"/>
      <w:marTop w:val="0"/>
      <w:marBottom w:val="0"/>
      <w:divBdr>
        <w:top w:val="none" w:sz="0" w:space="0" w:color="auto"/>
        <w:left w:val="none" w:sz="0" w:space="0" w:color="auto"/>
        <w:bottom w:val="none" w:sz="0" w:space="0" w:color="auto"/>
        <w:right w:val="none" w:sz="0" w:space="0" w:color="auto"/>
      </w:divBdr>
    </w:div>
    <w:div w:id="660354154">
      <w:bodyDiv w:val="1"/>
      <w:marLeft w:val="0"/>
      <w:marRight w:val="0"/>
      <w:marTop w:val="0"/>
      <w:marBottom w:val="0"/>
      <w:divBdr>
        <w:top w:val="none" w:sz="0" w:space="0" w:color="auto"/>
        <w:left w:val="none" w:sz="0" w:space="0" w:color="auto"/>
        <w:bottom w:val="none" w:sz="0" w:space="0" w:color="auto"/>
        <w:right w:val="none" w:sz="0" w:space="0" w:color="auto"/>
      </w:divBdr>
    </w:div>
    <w:div w:id="666903630">
      <w:bodyDiv w:val="1"/>
      <w:marLeft w:val="0"/>
      <w:marRight w:val="0"/>
      <w:marTop w:val="0"/>
      <w:marBottom w:val="0"/>
      <w:divBdr>
        <w:top w:val="none" w:sz="0" w:space="0" w:color="auto"/>
        <w:left w:val="none" w:sz="0" w:space="0" w:color="auto"/>
        <w:bottom w:val="none" w:sz="0" w:space="0" w:color="auto"/>
        <w:right w:val="none" w:sz="0" w:space="0" w:color="auto"/>
      </w:divBdr>
    </w:div>
    <w:div w:id="681080833">
      <w:bodyDiv w:val="1"/>
      <w:marLeft w:val="0"/>
      <w:marRight w:val="0"/>
      <w:marTop w:val="0"/>
      <w:marBottom w:val="0"/>
      <w:divBdr>
        <w:top w:val="none" w:sz="0" w:space="0" w:color="auto"/>
        <w:left w:val="none" w:sz="0" w:space="0" w:color="auto"/>
        <w:bottom w:val="none" w:sz="0" w:space="0" w:color="auto"/>
        <w:right w:val="none" w:sz="0" w:space="0" w:color="auto"/>
      </w:divBdr>
    </w:div>
    <w:div w:id="682710997">
      <w:bodyDiv w:val="1"/>
      <w:marLeft w:val="0"/>
      <w:marRight w:val="0"/>
      <w:marTop w:val="0"/>
      <w:marBottom w:val="0"/>
      <w:divBdr>
        <w:top w:val="none" w:sz="0" w:space="0" w:color="auto"/>
        <w:left w:val="none" w:sz="0" w:space="0" w:color="auto"/>
        <w:bottom w:val="none" w:sz="0" w:space="0" w:color="auto"/>
        <w:right w:val="none" w:sz="0" w:space="0" w:color="auto"/>
      </w:divBdr>
    </w:div>
    <w:div w:id="684743537">
      <w:bodyDiv w:val="1"/>
      <w:marLeft w:val="0"/>
      <w:marRight w:val="0"/>
      <w:marTop w:val="0"/>
      <w:marBottom w:val="0"/>
      <w:divBdr>
        <w:top w:val="none" w:sz="0" w:space="0" w:color="auto"/>
        <w:left w:val="none" w:sz="0" w:space="0" w:color="auto"/>
        <w:bottom w:val="none" w:sz="0" w:space="0" w:color="auto"/>
        <w:right w:val="none" w:sz="0" w:space="0" w:color="auto"/>
      </w:divBdr>
    </w:div>
    <w:div w:id="690030981">
      <w:bodyDiv w:val="1"/>
      <w:marLeft w:val="0"/>
      <w:marRight w:val="0"/>
      <w:marTop w:val="0"/>
      <w:marBottom w:val="0"/>
      <w:divBdr>
        <w:top w:val="none" w:sz="0" w:space="0" w:color="auto"/>
        <w:left w:val="none" w:sz="0" w:space="0" w:color="auto"/>
        <w:bottom w:val="none" w:sz="0" w:space="0" w:color="auto"/>
        <w:right w:val="none" w:sz="0" w:space="0" w:color="auto"/>
      </w:divBdr>
    </w:div>
    <w:div w:id="766584470">
      <w:bodyDiv w:val="1"/>
      <w:marLeft w:val="0"/>
      <w:marRight w:val="0"/>
      <w:marTop w:val="0"/>
      <w:marBottom w:val="0"/>
      <w:divBdr>
        <w:top w:val="none" w:sz="0" w:space="0" w:color="auto"/>
        <w:left w:val="none" w:sz="0" w:space="0" w:color="auto"/>
        <w:bottom w:val="none" w:sz="0" w:space="0" w:color="auto"/>
        <w:right w:val="none" w:sz="0" w:space="0" w:color="auto"/>
      </w:divBdr>
    </w:div>
    <w:div w:id="784158137">
      <w:bodyDiv w:val="1"/>
      <w:marLeft w:val="0"/>
      <w:marRight w:val="0"/>
      <w:marTop w:val="0"/>
      <w:marBottom w:val="0"/>
      <w:divBdr>
        <w:top w:val="none" w:sz="0" w:space="0" w:color="auto"/>
        <w:left w:val="none" w:sz="0" w:space="0" w:color="auto"/>
        <w:bottom w:val="none" w:sz="0" w:space="0" w:color="auto"/>
        <w:right w:val="none" w:sz="0" w:space="0" w:color="auto"/>
      </w:divBdr>
    </w:div>
    <w:div w:id="807472597">
      <w:bodyDiv w:val="1"/>
      <w:marLeft w:val="0"/>
      <w:marRight w:val="0"/>
      <w:marTop w:val="0"/>
      <w:marBottom w:val="0"/>
      <w:divBdr>
        <w:top w:val="none" w:sz="0" w:space="0" w:color="auto"/>
        <w:left w:val="none" w:sz="0" w:space="0" w:color="auto"/>
        <w:bottom w:val="none" w:sz="0" w:space="0" w:color="auto"/>
        <w:right w:val="none" w:sz="0" w:space="0" w:color="auto"/>
      </w:divBdr>
    </w:div>
    <w:div w:id="907615316">
      <w:bodyDiv w:val="1"/>
      <w:marLeft w:val="0"/>
      <w:marRight w:val="0"/>
      <w:marTop w:val="0"/>
      <w:marBottom w:val="0"/>
      <w:divBdr>
        <w:top w:val="none" w:sz="0" w:space="0" w:color="auto"/>
        <w:left w:val="none" w:sz="0" w:space="0" w:color="auto"/>
        <w:bottom w:val="none" w:sz="0" w:space="0" w:color="auto"/>
        <w:right w:val="none" w:sz="0" w:space="0" w:color="auto"/>
      </w:divBdr>
    </w:div>
    <w:div w:id="915434358">
      <w:bodyDiv w:val="1"/>
      <w:marLeft w:val="0"/>
      <w:marRight w:val="0"/>
      <w:marTop w:val="0"/>
      <w:marBottom w:val="0"/>
      <w:divBdr>
        <w:top w:val="none" w:sz="0" w:space="0" w:color="auto"/>
        <w:left w:val="none" w:sz="0" w:space="0" w:color="auto"/>
        <w:bottom w:val="none" w:sz="0" w:space="0" w:color="auto"/>
        <w:right w:val="none" w:sz="0" w:space="0" w:color="auto"/>
      </w:divBdr>
    </w:div>
    <w:div w:id="917329630">
      <w:bodyDiv w:val="1"/>
      <w:marLeft w:val="0"/>
      <w:marRight w:val="0"/>
      <w:marTop w:val="0"/>
      <w:marBottom w:val="0"/>
      <w:divBdr>
        <w:top w:val="none" w:sz="0" w:space="0" w:color="auto"/>
        <w:left w:val="none" w:sz="0" w:space="0" w:color="auto"/>
        <w:bottom w:val="none" w:sz="0" w:space="0" w:color="auto"/>
        <w:right w:val="none" w:sz="0" w:space="0" w:color="auto"/>
      </w:divBdr>
    </w:div>
    <w:div w:id="931090101">
      <w:bodyDiv w:val="1"/>
      <w:marLeft w:val="0"/>
      <w:marRight w:val="0"/>
      <w:marTop w:val="0"/>
      <w:marBottom w:val="0"/>
      <w:divBdr>
        <w:top w:val="none" w:sz="0" w:space="0" w:color="auto"/>
        <w:left w:val="none" w:sz="0" w:space="0" w:color="auto"/>
        <w:bottom w:val="none" w:sz="0" w:space="0" w:color="auto"/>
        <w:right w:val="none" w:sz="0" w:space="0" w:color="auto"/>
      </w:divBdr>
    </w:div>
    <w:div w:id="937492855">
      <w:bodyDiv w:val="1"/>
      <w:marLeft w:val="0"/>
      <w:marRight w:val="0"/>
      <w:marTop w:val="0"/>
      <w:marBottom w:val="0"/>
      <w:divBdr>
        <w:top w:val="none" w:sz="0" w:space="0" w:color="auto"/>
        <w:left w:val="none" w:sz="0" w:space="0" w:color="auto"/>
        <w:bottom w:val="none" w:sz="0" w:space="0" w:color="auto"/>
        <w:right w:val="none" w:sz="0" w:space="0" w:color="auto"/>
      </w:divBdr>
    </w:div>
    <w:div w:id="949777588">
      <w:bodyDiv w:val="1"/>
      <w:marLeft w:val="0"/>
      <w:marRight w:val="0"/>
      <w:marTop w:val="0"/>
      <w:marBottom w:val="0"/>
      <w:divBdr>
        <w:top w:val="none" w:sz="0" w:space="0" w:color="auto"/>
        <w:left w:val="none" w:sz="0" w:space="0" w:color="auto"/>
        <w:bottom w:val="none" w:sz="0" w:space="0" w:color="auto"/>
        <w:right w:val="none" w:sz="0" w:space="0" w:color="auto"/>
      </w:divBdr>
    </w:div>
    <w:div w:id="950362974">
      <w:bodyDiv w:val="1"/>
      <w:marLeft w:val="0"/>
      <w:marRight w:val="0"/>
      <w:marTop w:val="0"/>
      <w:marBottom w:val="0"/>
      <w:divBdr>
        <w:top w:val="none" w:sz="0" w:space="0" w:color="auto"/>
        <w:left w:val="none" w:sz="0" w:space="0" w:color="auto"/>
        <w:bottom w:val="none" w:sz="0" w:space="0" w:color="auto"/>
        <w:right w:val="none" w:sz="0" w:space="0" w:color="auto"/>
      </w:divBdr>
    </w:div>
    <w:div w:id="963997169">
      <w:bodyDiv w:val="1"/>
      <w:marLeft w:val="0"/>
      <w:marRight w:val="0"/>
      <w:marTop w:val="0"/>
      <w:marBottom w:val="0"/>
      <w:divBdr>
        <w:top w:val="none" w:sz="0" w:space="0" w:color="auto"/>
        <w:left w:val="none" w:sz="0" w:space="0" w:color="auto"/>
        <w:bottom w:val="none" w:sz="0" w:space="0" w:color="auto"/>
        <w:right w:val="none" w:sz="0" w:space="0" w:color="auto"/>
      </w:divBdr>
    </w:div>
    <w:div w:id="994644440">
      <w:bodyDiv w:val="1"/>
      <w:marLeft w:val="0"/>
      <w:marRight w:val="0"/>
      <w:marTop w:val="0"/>
      <w:marBottom w:val="0"/>
      <w:divBdr>
        <w:top w:val="none" w:sz="0" w:space="0" w:color="auto"/>
        <w:left w:val="none" w:sz="0" w:space="0" w:color="auto"/>
        <w:bottom w:val="none" w:sz="0" w:space="0" w:color="auto"/>
        <w:right w:val="none" w:sz="0" w:space="0" w:color="auto"/>
      </w:divBdr>
    </w:div>
    <w:div w:id="1032195581">
      <w:bodyDiv w:val="1"/>
      <w:marLeft w:val="0"/>
      <w:marRight w:val="0"/>
      <w:marTop w:val="0"/>
      <w:marBottom w:val="0"/>
      <w:divBdr>
        <w:top w:val="none" w:sz="0" w:space="0" w:color="auto"/>
        <w:left w:val="none" w:sz="0" w:space="0" w:color="auto"/>
        <w:bottom w:val="none" w:sz="0" w:space="0" w:color="auto"/>
        <w:right w:val="none" w:sz="0" w:space="0" w:color="auto"/>
      </w:divBdr>
    </w:div>
    <w:div w:id="1052315802">
      <w:bodyDiv w:val="1"/>
      <w:marLeft w:val="0"/>
      <w:marRight w:val="0"/>
      <w:marTop w:val="0"/>
      <w:marBottom w:val="0"/>
      <w:divBdr>
        <w:top w:val="none" w:sz="0" w:space="0" w:color="auto"/>
        <w:left w:val="none" w:sz="0" w:space="0" w:color="auto"/>
        <w:bottom w:val="none" w:sz="0" w:space="0" w:color="auto"/>
        <w:right w:val="none" w:sz="0" w:space="0" w:color="auto"/>
      </w:divBdr>
    </w:div>
    <w:div w:id="1053164874">
      <w:bodyDiv w:val="1"/>
      <w:marLeft w:val="0"/>
      <w:marRight w:val="0"/>
      <w:marTop w:val="0"/>
      <w:marBottom w:val="0"/>
      <w:divBdr>
        <w:top w:val="none" w:sz="0" w:space="0" w:color="auto"/>
        <w:left w:val="none" w:sz="0" w:space="0" w:color="auto"/>
        <w:bottom w:val="none" w:sz="0" w:space="0" w:color="auto"/>
        <w:right w:val="none" w:sz="0" w:space="0" w:color="auto"/>
      </w:divBdr>
    </w:div>
    <w:div w:id="1059741240">
      <w:bodyDiv w:val="1"/>
      <w:marLeft w:val="0"/>
      <w:marRight w:val="0"/>
      <w:marTop w:val="0"/>
      <w:marBottom w:val="0"/>
      <w:divBdr>
        <w:top w:val="none" w:sz="0" w:space="0" w:color="auto"/>
        <w:left w:val="none" w:sz="0" w:space="0" w:color="auto"/>
        <w:bottom w:val="none" w:sz="0" w:space="0" w:color="auto"/>
        <w:right w:val="none" w:sz="0" w:space="0" w:color="auto"/>
      </w:divBdr>
    </w:div>
    <w:div w:id="1068459559">
      <w:bodyDiv w:val="1"/>
      <w:marLeft w:val="0"/>
      <w:marRight w:val="0"/>
      <w:marTop w:val="0"/>
      <w:marBottom w:val="0"/>
      <w:divBdr>
        <w:top w:val="none" w:sz="0" w:space="0" w:color="auto"/>
        <w:left w:val="none" w:sz="0" w:space="0" w:color="auto"/>
        <w:bottom w:val="none" w:sz="0" w:space="0" w:color="auto"/>
        <w:right w:val="none" w:sz="0" w:space="0" w:color="auto"/>
      </w:divBdr>
    </w:div>
    <w:div w:id="1079205979">
      <w:bodyDiv w:val="1"/>
      <w:marLeft w:val="0"/>
      <w:marRight w:val="0"/>
      <w:marTop w:val="0"/>
      <w:marBottom w:val="0"/>
      <w:divBdr>
        <w:top w:val="none" w:sz="0" w:space="0" w:color="auto"/>
        <w:left w:val="none" w:sz="0" w:space="0" w:color="auto"/>
        <w:bottom w:val="none" w:sz="0" w:space="0" w:color="auto"/>
        <w:right w:val="none" w:sz="0" w:space="0" w:color="auto"/>
      </w:divBdr>
    </w:div>
    <w:div w:id="1080634177">
      <w:bodyDiv w:val="1"/>
      <w:marLeft w:val="0"/>
      <w:marRight w:val="0"/>
      <w:marTop w:val="0"/>
      <w:marBottom w:val="0"/>
      <w:divBdr>
        <w:top w:val="none" w:sz="0" w:space="0" w:color="auto"/>
        <w:left w:val="none" w:sz="0" w:space="0" w:color="auto"/>
        <w:bottom w:val="none" w:sz="0" w:space="0" w:color="auto"/>
        <w:right w:val="none" w:sz="0" w:space="0" w:color="auto"/>
      </w:divBdr>
    </w:div>
    <w:div w:id="1117723293">
      <w:bodyDiv w:val="1"/>
      <w:marLeft w:val="0"/>
      <w:marRight w:val="0"/>
      <w:marTop w:val="0"/>
      <w:marBottom w:val="0"/>
      <w:divBdr>
        <w:top w:val="none" w:sz="0" w:space="0" w:color="auto"/>
        <w:left w:val="none" w:sz="0" w:space="0" w:color="auto"/>
        <w:bottom w:val="none" w:sz="0" w:space="0" w:color="auto"/>
        <w:right w:val="none" w:sz="0" w:space="0" w:color="auto"/>
      </w:divBdr>
    </w:div>
    <w:div w:id="1137726731">
      <w:bodyDiv w:val="1"/>
      <w:marLeft w:val="0"/>
      <w:marRight w:val="0"/>
      <w:marTop w:val="0"/>
      <w:marBottom w:val="0"/>
      <w:divBdr>
        <w:top w:val="none" w:sz="0" w:space="0" w:color="auto"/>
        <w:left w:val="none" w:sz="0" w:space="0" w:color="auto"/>
        <w:bottom w:val="none" w:sz="0" w:space="0" w:color="auto"/>
        <w:right w:val="none" w:sz="0" w:space="0" w:color="auto"/>
      </w:divBdr>
    </w:div>
    <w:div w:id="1156606074">
      <w:bodyDiv w:val="1"/>
      <w:marLeft w:val="0"/>
      <w:marRight w:val="0"/>
      <w:marTop w:val="0"/>
      <w:marBottom w:val="0"/>
      <w:divBdr>
        <w:top w:val="none" w:sz="0" w:space="0" w:color="auto"/>
        <w:left w:val="none" w:sz="0" w:space="0" w:color="auto"/>
        <w:bottom w:val="none" w:sz="0" w:space="0" w:color="auto"/>
        <w:right w:val="none" w:sz="0" w:space="0" w:color="auto"/>
      </w:divBdr>
    </w:div>
    <w:div w:id="1176462384">
      <w:bodyDiv w:val="1"/>
      <w:marLeft w:val="0"/>
      <w:marRight w:val="0"/>
      <w:marTop w:val="0"/>
      <w:marBottom w:val="0"/>
      <w:divBdr>
        <w:top w:val="none" w:sz="0" w:space="0" w:color="auto"/>
        <w:left w:val="none" w:sz="0" w:space="0" w:color="auto"/>
        <w:bottom w:val="none" w:sz="0" w:space="0" w:color="auto"/>
        <w:right w:val="none" w:sz="0" w:space="0" w:color="auto"/>
      </w:divBdr>
    </w:div>
    <w:div w:id="1185362643">
      <w:bodyDiv w:val="1"/>
      <w:marLeft w:val="0"/>
      <w:marRight w:val="0"/>
      <w:marTop w:val="0"/>
      <w:marBottom w:val="0"/>
      <w:divBdr>
        <w:top w:val="none" w:sz="0" w:space="0" w:color="auto"/>
        <w:left w:val="none" w:sz="0" w:space="0" w:color="auto"/>
        <w:bottom w:val="none" w:sz="0" w:space="0" w:color="auto"/>
        <w:right w:val="none" w:sz="0" w:space="0" w:color="auto"/>
      </w:divBdr>
    </w:div>
    <w:div w:id="1186602181">
      <w:bodyDiv w:val="1"/>
      <w:marLeft w:val="0"/>
      <w:marRight w:val="0"/>
      <w:marTop w:val="0"/>
      <w:marBottom w:val="0"/>
      <w:divBdr>
        <w:top w:val="none" w:sz="0" w:space="0" w:color="auto"/>
        <w:left w:val="none" w:sz="0" w:space="0" w:color="auto"/>
        <w:bottom w:val="none" w:sz="0" w:space="0" w:color="auto"/>
        <w:right w:val="none" w:sz="0" w:space="0" w:color="auto"/>
      </w:divBdr>
    </w:div>
    <w:div w:id="1205095640">
      <w:bodyDiv w:val="1"/>
      <w:marLeft w:val="0"/>
      <w:marRight w:val="0"/>
      <w:marTop w:val="0"/>
      <w:marBottom w:val="0"/>
      <w:divBdr>
        <w:top w:val="none" w:sz="0" w:space="0" w:color="auto"/>
        <w:left w:val="none" w:sz="0" w:space="0" w:color="auto"/>
        <w:bottom w:val="none" w:sz="0" w:space="0" w:color="auto"/>
        <w:right w:val="none" w:sz="0" w:space="0" w:color="auto"/>
      </w:divBdr>
    </w:div>
    <w:div w:id="1244416440">
      <w:bodyDiv w:val="1"/>
      <w:marLeft w:val="0"/>
      <w:marRight w:val="0"/>
      <w:marTop w:val="0"/>
      <w:marBottom w:val="0"/>
      <w:divBdr>
        <w:top w:val="none" w:sz="0" w:space="0" w:color="auto"/>
        <w:left w:val="none" w:sz="0" w:space="0" w:color="auto"/>
        <w:bottom w:val="none" w:sz="0" w:space="0" w:color="auto"/>
        <w:right w:val="none" w:sz="0" w:space="0" w:color="auto"/>
      </w:divBdr>
    </w:div>
    <w:div w:id="1248809834">
      <w:bodyDiv w:val="1"/>
      <w:marLeft w:val="0"/>
      <w:marRight w:val="0"/>
      <w:marTop w:val="0"/>
      <w:marBottom w:val="0"/>
      <w:divBdr>
        <w:top w:val="none" w:sz="0" w:space="0" w:color="auto"/>
        <w:left w:val="none" w:sz="0" w:space="0" w:color="auto"/>
        <w:bottom w:val="none" w:sz="0" w:space="0" w:color="auto"/>
        <w:right w:val="none" w:sz="0" w:space="0" w:color="auto"/>
      </w:divBdr>
    </w:div>
    <w:div w:id="1262059430">
      <w:bodyDiv w:val="1"/>
      <w:marLeft w:val="0"/>
      <w:marRight w:val="0"/>
      <w:marTop w:val="0"/>
      <w:marBottom w:val="0"/>
      <w:divBdr>
        <w:top w:val="none" w:sz="0" w:space="0" w:color="auto"/>
        <w:left w:val="none" w:sz="0" w:space="0" w:color="auto"/>
        <w:bottom w:val="none" w:sz="0" w:space="0" w:color="auto"/>
        <w:right w:val="none" w:sz="0" w:space="0" w:color="auto"/>
      </w:divBdr>
    </w:div>
    <w:div w:id="1353989820">
      <w:bodyDiv w:val="1"/>
      <w:marLeft w:val="0"/>
      <w:marRight w:val="0"/>
      <w:marTop w:val="0"/>
      <w:marBottom w:val="0"/>
      <w:divBdr>
        <w:top w:val="none" w:sz="0" w:space="0" w:color="auto"/>
        <w:left w:val="none" w:sz="0" w:space="0" w:color="auto"/>
        <w:bottom w:val="none" w:sz="0" w:space="0" w:color="auto"/>
        <w:right w:val="none" w:sz="0" w:space="0" w:color="auto"/>
      </w:divBdr>
    </w:div>
    <w:div w:id="1403017747">
      <w:bodyDiv w:val="1"/>
      <w:marLeft w:val="0"/>
      <w:marRight w:val="0"/>
      <w:marTop w:val="0"/>
      <w:marBottom w:val="0"/>
      <w:divBdr>
        <w:top w:val="none" w:sz="0" w:space="0" w:color="auto"/>
        <w:left w:val="none" w:sz="0" w:space="0" w:color="auto"/>
        <w:bottom w:val="none" w:sz="0" w:space="0" w:color="auto"/>
        <w:right w:val="none" w:sz="0" w:space="0" w:color="auto"/>
      </w:divBdr>
    </w:div>
    <w:div w:id="1412895899">
      <w:bodyDiv w:val="1"/>
      <w:marLeft w:val="0"/>
      <w:marRight w:val="0"/>
      <w:marTop w:val="0"/>
      <w:marBottom w:val="0"/>
      <w:divBdr>
        <w:top w:val="none" w:sz="0" w:space="0" w:color="auto"/>
        <w:left w:val="none" w:sz="0" w:space="0" w:color="auto"/>
        <w:bottom w:val="none" w:sz="0" w:space="0" w:color="auto"/>
        <w:right w:val="none" w:sz="0" w:space="0" w:color="auto"/>
      </w:divBdr>
    </w:div>
    <w:div w:id="1430660114">
      <w:bodyDiv w:val="1"/>
      <w:marLeft w:val="0"/>
      <w:marRight w:val="0"/>
      <w:marTop w:val="0"/>
      <w:marBottom w:val="0"/>
      <w:divBdr>
        <w:top w:val="none" w:sz="0" w:space="0" w:color="auto"/>
        <w:left w:val="none" w:sz="0" w:space="0" w:color="auto"/>
        <w:bottom w:val="none" w:sz="0" w:space="0" w:color="auto"/>
        <w:right w:val="none" w:sz="0" w:space="0" w:color="auto"/>
      </w:divBdr>
    </w:div>
    <w:div w:id="1559709547">
      <w:bodyDiv w:val="1"/>
      <w:marLeft w:val="0"/>
      <w:marRight w:val="0"/>
      <w:marTop w:val="0"/>
      <w:marBottom w:val="0"/>
      <w:divBdr>
        <w:top w:val="none" w:sz="0" w:space="0" w:color="auto"/>
        <w:left w:val="none" w:sz="0" w:space="0" w:color="auto"/>
        <w:bottom w:val="none" w:sz="0" w:space="0" w:color="auto"/>
        <w:right w:val="none" w:sz="0" w:space="0" w:color="auto"/>
      </w:divBdr>
    </w:div>
    <w:div w:id="1570115974">
      <w:bodyDiv w:val="1"/>
      <w:marLeft w:val="0"/>
      <w:marRight w:val="0"/>
      <w:marTop w:val="0"/>
      <w:marBottom w:val="0"/>
      <w:divBdr>
        <w:top w:val="none" w:sz="0" w:space="0" w:color="auto"/>
        <w:left w:val="none" w:sz="0" w:space="0" w:color="auto"/>
        <w:bottom w:val="none" w:sz="0" w:space="0" w:color="auto"/>
        <w:right w:val="none" w:sz="0" w:space="0" w:color="auto"/>
      </w:divBdr>
    </w:div>
    <w:div w:id="1601911211">
      <w:bodyDiv w:val="1"/>
      <w:marLeft w:val="0"/>
      <w:marRight w:val="0"/>
      <w:marTop w:val="0"/>
      <w:marBottom w:val="0"/>
      <w:divBdr>
        <w:top w:val="none" w:sz="0" w:space="0" w:color="auto"/>
        <w:left w:val="none" w:sz="0" w:space="0" w:color="auto"/>
        <w:bottom w:val="none" w:sz="0" w:space="0" w:color="auto"/>
        <w:right w:val="none" w:sz="0" w:space="0" w:color="auto"/>
      </w:divBdr>
    </w:div>
    <w:div w:id="1623919044">
      <w:bodyDiv w:val="1"/>
      <w:marLeft w:val="0"/>
      <w:marRight w:val="0"/>
      <w:marTop w:val="0"/>
      <w:marBottom w:val="0"/>
      <w:divBdr>
        <w:top w:val="none" w:sz="0" w:space="0" w:color="auto"/>
        <w:left w:val="none" w:sz="0" w:space="0" w:color="auto"/>
        <w:bottom w:val="none" w:sz="0" w:space="0" w:color="auto"/>
        <w:right w:val="none" w:sz="0" w:space="0" w:color="auto"/>
      </w:divBdr>
    </w:div>
    <w:div w:id="1628854861">
      <w:bodyDiv w:val="1"/>
      <w:marLeft w:val="0"/>
      <w:marRight w:val="0"/>
      <w:marTop w:val="0"/>
      <w:marBottom w:val="0"/>
      <w:divBdr>
        <w:top w:val="none" w:sz="0" w:space="0" w:color="auto"/>
        <w:left w:val="none" w:sz="0" w:space="0" w:color="auto"/>
        <w:bottom w:val="none" w:sz="0" w:space="0" w:color="auto"/>
        <w:right w:val="none" w:sz="0" w:space="0" w:color="auto"/>
      </w:divBdr>
    </w:div>
    <w:div w:id="1634404734">
      <w:bodyDiv w:val="1"/>
      <w:marLeft w:val="0"/>
      <w:marRight w:val="0"/>
      <w:marTop w:val="0"/>
      <w:marBottom w:val="0"/>
      <w:divBdr>
        <w:top w:val="none" w:sz="0" w:space="0" w:color="auto"/>
        <w:left w:val="none" w:sz="0" w:space="0" w:color="auto"/>
        <w:bottom w:val="none" w:sz="0" w:space="0" w:color="auto"/>
        <w:right w:val="none" w:sz="0" w:space="0" w:color="auto"/>
      </w:divBdr>
    </w:div>
    <w:div w:id="1684241708">
      <w:bodyDiv w:val="1"/>
      <w:marLeft w:val="0"/>
      <w:marRight w:val="0"/>
      <w:marTop w:val="0"/>
      <w:marBottom w:val="0"/>
      <w:divBdr>
        <w:top w:val="none" w:sz="0" w:space="0" w:color="auto"/>
        <w:left w:val="none" w:sz="0" w:space="0" w:color="auto"/>
        <w:bottom w:val="none" w:sz="0" w:space="0" w:color="auto"/>
        <w:right w:val="none" w:sz="0" w:space="0" w:color="auto"/>
      </w:divBdr>
    </w:div>
    <w:div w:id="1698968229">
      <w:bodyDiv w:val="1"/>
      <w:marLeft w:val="0"/>
      <w:marRight w:val="0"/>
      <w:marTop w:val="0"/>
      <w:marBottom w:val="0"/>
      <w:divBdr>
        <w:top w:val="none" w:sz="0" w:space="0" w:color="auto"/>
        <w:left w:val="none" w:sz="0" w:space="0" w:color="auto"/>
        <w:bottom w:val="none" w:sz="0" w:space="0" w:color="auto"/>
        <w:right w:val="none" w:sz="0" w:space="0" w:color="auto"/>
      </w:divBdr>
    </w:div>
    <w:div w:id="1713379242">
      <w:bodyDiv w:val="1"/>
      <w:marLeft w:val="0"/>
      <w:marRight w:val="0"/>
      <w:marTop w:val="0"/>
      <w:marBottom w:val="0"/>
      <w:divBdr>
        <w:top w:val="none" w:sz="0" w:space="0" w:color="auto"/>
        <w:left w:val="none" w:sz="0" w:space="0" w:color="auto"/>
        <w:bottom w:val="none" w:sz="0" w:space="0" w:color="auto"/>
        <w:right w:val="none" w:sz="0" w:space="0" w:color="auto"/>
      </w:divBdr>
      <w:divsChild>
        <w:div w:id="372656637">
          <w:marLeft w:val="0"/>
          <w:marRight w:val="0"/>
          <w:marTop w:val="0"/>
          <w:marBottom w:val="0"/>
          <w:divBdr>
            <w:top w:val="none" w:sz="0" w:space="0" w:color="auto"/>
            <w:left w:val="none" w:sz="0" w:space="0" w:color="auto"/>
            <w:bottom w:val="none" w:sz="0" w:space="0" w:color="auto"/>
            <w:right w:val="none" w:sz="0" w:space="0" w:color="auto"/>
          </w:divBdr>
          <w:divsChild>
            <w:div w:id="1799452948">
              <w:marLeft w:val="0"/>
              <w:marRight w:val="0"/>
              <w:marTop w:val="0"/>
              <w:marBottom w:val="0"/>
              <w:divBdr>
                <w:top w:val="none" w:sz="0" w:space="0" w:color="auto"/>
                <w:left w:val="none" w:sz="0" w:space="0" w:color="auto"/>
                <w:bottom w:val="none" w:sz="0" w:space="0" w:color="auto"/>
                <w:right w:val="none" w:sz="0" w:space="0" w:color="auto"/>
              </w:divBdr>
              <w:divsChild>
                <w:div w:id="2050180661">
                  <w:marLeft w:val="0"/>
                  <w:marRight w:val="0"/>
                  <w:marTop w:val="0"/>
                  <w:marBottom w:val="0"/>
                  <w:divBdr>
                    <w:top w:val="none" w:sz="0" w:space="0" w:color="auto"/>
                    <w:left w:val="none" w:sz="0" w:space="0" w:color="auto"/>
                    <w:bottom w:val="none" w:sz="0" w:space="0" w:color="auto"/>
                    <w:right w:val="none" w:sz="0" w:space="0" w:color="auto"/>
                  </w:divBdr>
                  <w:divsChild>
                    <w:div w:id="566840447">
                      <w:marLeft w:val="0"/>
                      <w:marRight w:val="0"/>
                      <w:marTop w:val="0"/>
                      <w:marBottom w:val="0"/>
                      <w:divBdr>
                        <w:top w:val="none" w:sz="0" w:space="0" w:color="auto"/>
                        <w:left w:val="none" w:sz="0" w:space="0" w:color="auto"/>
                        <w:bottom w:val="none" w:sz="0" w:space="0" w:color="auto"/>
                        <w:right w:val="none" w:sz="0" w:space="0" w:color="auto"/>
                      </w:divBdr>
                    </w:div>
                    <w:div w:id="12883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2567">
          <w:marLeft w:val="0"/>
          <w:marRight w:val="0"/>
          <w:marTop w:val="0"/>
          <w:marBottom w:val="0"/>
          <w:divBdr>
            <w:top w:val="none" w:sz="0" w:space="0" w:color="auto"/>
            <w:left w:val="none" w:sz="0" w:space="0" w:color="auto"/>
            <w:bottom w:val="none" w:sz="0" w:space="0" w:color="auto"/>
            <w:right w:val="none" w:sz="0" w:space="0" w:color="auto"/>
          </w:divBdr>
          <w:divsChild>
            <w:div w:id="561715313">
              <w:marLeft w:val="0"/>
              <w:marRight w:val="0"/>
              <w:marTop w:val="0"/>
              <w:marBottom w:val="0"/>
              <w:divBdr>
                <w:top w:val="none" w:sz="0" w:space="0" w:color="auto"/>
                <w:left w:val="none" w:sz="0" w:space="0" w:color="auto"/>
                <w:bottom w:val="none" w:sz="0" w:space="0" w:color="auto"/>
                <w:right w:val="none" w:sz="0" w:space="0" w:color="auto"/>
              </w:divBdr>
              <w:divsChild>
                <w:div w:id="670838268">
                  <w:marLeft w:val="0"/>
                  <w:marRight w:val="0"/>
                  <w:marTop w:val="0"/>
                  <w:marBottom w:val="0"/>
                  <w:divBdr>
                    <w:top w:val="none" w:sz="0" w:space="0" w:color="auto"/>
                    <w:left w:val="none" w:sz="0" w:space="0" w:color="auto"/>
                    <w:bottom w:val="none" w:sz="0" w:space="0" w:color="auto"/>
                    <w:right w:val="none" w:sz="0" w:space="0" w:color="auto"/>
                  </w:divBdr>
                  <w:divsChild>
                    <w:div w:id="1743983929">
                      <w:marLeft w:val="0"/>
                      <w:marRight w:val="0"/>
                      <w:marTop w:val="0"/>
                      <w:marBottom w:val="0"/>
                      <w:divBdr>
                        <w:top w:val="none" w:sz="0" w:space="0" w:color="auto"/>
                        <w:left w:val="none" w:sz="0" w:space="0" w:color="auto"/>
                        <w:bottom w:val="none" w:sz="0" w:space="0" w:color="auto"/>
                        <w:right w:val="none" w:sz="0" w:space="0" w:color="auto"/>
                      </w:divBdr>
                    </w:div>
                    <w:div w:id="9723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4201">
          <w:marLeft w:val="0"/>
          <w:marRight w:val="0"/>
          <w:marTop w:val="0"/>
          <w:marBottom w:val="0"/>
          <w:divBdr>
            <w:top w:val="none" w:sz="0" w:space="0" w:color="auto"/>
            <w:left w:val="none" w:sz="0" w:space="0" w:color="auto"/>
            <w:bottom w:val="none" w:sz="0" w:space="0" w:color="auto"/>
            <w:right w:val="none" w:sz="0" w:space="0" w:color="auto"/>
          </w:divBdr>
          <w:divsChild>
            <w:div w:id="1916355987">
              <w:marLeft w:val="0"/>
              <w:marRight w:val="0"/>
              <w:marTop w:val="0"/>
              <w:marBottom w:val="0"/>
              <w:divBdr>
                <w:top w:val="none" w:sz="0" w:space="0" w:color="auto"/>
                <w:left w:val="none" w:sz="0" w:space="0" w:color="auto"/>
                <w:bottom w:val="none" w:sz="0" w:space="0" w:color="auto"/>
                <w:right w:val="none" w:sz="0" w:space="0" w:color="auto"/>
              </w:divBdr>
              <w:divsChild>
                <w:div w:id="695303393">
                  <w:marLeft w:val="0"/>
                  <w:marRight w:val="0"/>
                  <w:marTop w:val="0"/>
                  <w:marBottom w:val="0"/>
                  <w:divBdr>
                    <w:top w:val="none" w:sz="0" w:space="0" w:color="auto"/>
                    <w:left w:val="none" w:sz="0" w:space="0" w:color="auto"/>
                    <w:bottom w:val="none" w:sz="0" w:space="0" w:color="auto"/>
                    <w:right w:val="none" w:sz="0" w:space="0" w:color="auto"/>
                  </w:divBdr>
                  <w:divsChild>
                    <w:div w:id="894270559">
                      <w:marLeft w:val="0"/>
                      <w:marRight w:val="0"/>
                      <w:marTop w:val="0"/>
                      <w:marBottom w:val="0"/>
                      <w:divBdr>
                        <w:top w:val="none" w:sz="0" w:space="0" w:color="auto"/>
                        <w:left w:val="none" w:sz="0" w:space="0" w:color="auto"/>
                        <w:bottom w:val="none" w:sz="0" w:space="0" w:color="auto"/>
                        <w:right w:val="none" w:sz="0" w:space="0" w:color="auto"/>
                      </w:divBdr>
                    </w:div>
                    <w:div w:id="17296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59952">
      <w:bodyDiv w:val="1"/>
      <w:marLeft w:val="0"/>
      <w:marRight w:val="0"/>
      <w:marTop w:val="0"/>
      <w:marBottom w:val="0"/>
      <w:divBdr>
        <w:top w:val="none" w:sz="0" w:space="0" w:color="auto"/>
        <w:left w:val="none" w:sz="0" w:space="0" w:color="auto"/>
        <w:bottom w:val="none" w:sz="0" w:space="0" w:color="auto"/>
        <w:right w:val="none" w:sz="0" w:space="0" w:color="auto"/>
      </w:divBdr>
    </w:div>
    <w:div w:id="1718779605">
      <w:bodyDiv w:val="1"/>
      <w:marLeft w:val="0"/>
      <w:marRight w:val="0"/>
      <w:marTop w:val="0"/>
      <w:marBottom w:val="0"/>
      <w:divBdr>
        <w:top w:val="none" w:sz="0" w:space="0" w:color="auto"/>
        <w:left w:val="none" w:sz="0" w:space="0" w:color="auto"/>
        <w:bottom w:val="none" w:sz="0" w:space="0" w:color="auto"/>
        <w:right w:val="none" w:sz="0" w:space="0" w:color="auto"/>
      </w:divBdr>
    </w:div>
    <w:div w:id="1719816562">
      <w:bodyDiv w:val="1"/>
      <w:marLeft w:val="0"/>
      <w:marRight w:val="0"/>
      <w:marTop w:val="0"/>
      <w:marBottom w:val="0"/>
      <w:divBdr>
        <w:top w:val="none" w:sz="0" w:space="0" w:color="auto"/>
        <w:left w:val="none" w:sz="0" w:space="0" w:color="auto"/>
        <w:bottom w:val="none" w:sz="0" w:space="0" w:color="auto"/>
        <w:right w:val="none" w:sz="0" w:space="0" w:color="auto"/>
      </w:divBdr>
    </w:div>
    <w:div w:id="1738287653">
      <w:bodyDiv w:val="1"/>
      <w:marLeft w:val="0"/>
      <w:marRight w:val="0"/>
      <w:marTop w:val="0"/>
      <w:marBottom w:val="0"/>
      <w:divBdr>
        <w:top w:val="none" w:sz="0" w:space="0" w:color="auto"/>
        <w:left w:val="none" w:sz="0" w:space="0" w:color="auto"/>
        <w:bottom w:val="none" w:sz="0" w:space="0" w:color="auto"/>
        <w:right w:val="none" w:sz="0" w:space="0" w:color="auto"/>
      </w:divBdr>
    </w:div>
    <w:div w:id="1773550259">
      <w:bodyDiv w:val="1"/>
      <w:marLeft w:val="0"/>
      <w:marRight w:val="0"/>
      <w:marTop w:val="0"/>
      <w:marBottom w:val="0"/>
      <w:divBdr>
        <w:top w:val="none" w:sz="0" w:space="0" w:color="auto"/>
        <w:left w:val="none" w:sz="0" w:space="0" w:color="auto"/>
        <w:bottom w:val="none" w:sz="0" w:space="0" w:color="auto"/>
        <w:right w:val="none" w:sz="0" w:space="0" w:color="auto"/>
      </w:divBdr>
    </w:div>
    <w:div w:id="1783768668">
      <w:bodyDiv w:val="1"/>
      <w:marLeft w:val="0"/>
      <w:marRight w:val="0"/>
      <w:marTop w:val="0"/>
      <w:marBottom w:val="0"/>
      <w:divBdr>
        <w:top w:val="none" w:sz="0" w:space="0" w:color="auto"/>
        <w:left w:val="none" w:sz="0" w:space="0" w:color="auto"/>
        <w:bottom w:val="none" w:sz="0" w:space="0" w:color="auto"/>
        <w:right w:val="none" w:sz="0" w:space="0" w:color="auto"/>
      </w:divBdr>
    </w:div>
    <w:div w:id="1811901944">
      <w:bodyDiv w:val="1"/>
      <w:marLeft w:val="0"/>
      <w:marRight w:val="0"/>
      <w:marTop w:val="0"/>
      <w:marBottom w:val="0"/>
      <w:divBdr>
        <w:top w:val="none" w:sz="0" w:space="0" w:color="auto"/>
        <w:left w:val="none" w:sz="0" w:space="0" w:color="auto"/>
        <w:bottom w:val="none" w:sz="0" w:space="0" w:color="auto"/>
        <w:right w:val="none" w:sz="0" w:space="0" w:color="auto"/>
      </w:divBdr>
    </w:div>
    <w:div w:id="1822311446">
      <w:bodyDiv w:val="1"/>
      <w:marLeft w:val="0"/>
      <w:marRight w:val="0"/>
      <w:marTop w:val="0"/>
      <w:marBottom w:val="0"/>
      <w:divBdr>
        <w:top w:val="none" w:sz="0" w:space="0" w:color="auto"/>
        <w:left w:val="none" w:sz="0" w:space="0" w:color="auto"/>
        <w:bottom w:val="none" w:sz="0" w:space="0" w:color="auto"/>
        <w:right w:val="none" w:sz="0" w:space="0" w:color="auto"/>
      </w:divBdr>
    </w:div>
    <w:div w:id="1856572614">
      <w:bodyDiv w:val="1"/>
      <w:marLeft w:val="0"/>
      <w:marRight w:val="0"/>
      <w:marTop w:val="0"/>
      <w:marBottom w:val="0"/>
      <w:divBdr>
        <w:top w:val="none" w:sz="0" w:space="0" w:color="auto"/>
        <w:left w:val="none" w:sz="0" w:space="0" w:color="auto"/>
        <w:bottom w:val="none" w:sz="0" w:space="0" w:color="auto"/>
        <w:right w:val="none" w:sz="0" w:space="0" w:color="auto"/>
      </w:divBdr>
    </w:div>
    <w:div w:id="1875188483">
      <w:bodyDiv w:val="1"/>
      <w:marLeft w:val="0"/>
      <w:marRight w:val="0"/>
      <w:marTop w:val="0"/>
      <w:marBottom w:val="0"/>
      <w:divBdr>
        <w:top w:val="none" w:sz="0" w:space="0" w:color="auto"/>
        <w:left w:val="none" w:sz="0" w:space="0" w:color="auto"/>
        <w:bottom w:val="none" w:sz="0" w:space="0" w:color="auto"/>
        <w:right w:val="none" w:sz="0" w:space="0" w:color="auto"/>
      </w:divBdr>
    </w:div>
    <w:div w:id="1879275008">
      <w:bodyDiv w:val="1"/>
      <w:marLeft w:val="0"/>
      <w:marRight w:val="0"/>
      <w:marTop w:val="0"/>
      <w:marBottom w:val="0"/>
      <w:divBdr>
        <w:top w:val="none" w:sz="0" w:space="0" w:color="auto"/>
        <w:left w:val="none" w:sz="0" w:space="0" w:color="auto"/>
        <w:bottom w:val="none" w:sz="0" w:space="0" w:color="auto"/>
        <w:right w:val="none" w:sz="0" w:space="0" w:color="auto"/>
      </w:divBdr>
    </w:div>
    <w:div w:id="1880125870">
      <w:bodyDiv w:val="1"/>
      <w:marLeft w:val="0"/>
      <w:marRight w:val="0"/>
      <w:marTop w:val="0"/>
      <w:marBottom w:val="0"/>
      <w:divBdr>
        <w:top w:val="none" w:sz="0" w:space="0" w:color="auto"/>
        <w:left w:val="none" w:sz="0" w:space="0" w:color="auto"/>
        <w:bottom w:val="none" w:sz="0" w:space="0" w:color="auto"/>
        <w:right w:val="none" w:sz="0" w:space="0" w:color="auto"/>
      </w:divBdr>
    </w:div>
    <w:div w:id="1886941021">
      <w:bodyDiv w:val="1"/>
      <w:marLeft w:val="0"/>
      <w:marRight w:val="0"/>
      <w:marTop w:val="0"/>
      <w:marBottom w:val="0"/>
      <w:divBdr>
        <w:top w:val="none" w:sz="0" w:space="0" w:color="auto"/>
        <w:left w:val="none" w:sz="0" w:space="0" w:color="auto"/>
        <w:bottom w:val="none" w:sz="0" w:space="0" w:color="auto"/>
        <w:right w:val="none" w:sz="0" w:space="0" w:color="auto"/>
      </w:divBdr>
    </w:div>
    <w:div w:id="1913930606">
      <w:bodyDiv w:val="1"/>
      <w:marLeft w:val="0"/>
      <w:marRight w:val="0"/>
      <w:marTop w:val="0"/>
      <w:marBottom w:val="0"/>
      <w:divBdr>
        <w:top w:val="none" w:sz="0" w:space="0" w:color="auto"/>
        <w:left w:val="none" w:sz="0" w:space="0" w:color="auto"/>
        <w:bottom w:val="none" w:sz="0" w:space="0" w:color="auto"/>
        <w:right w:val="none" w:sz="0" w:space="0" w:color="auto"/>
      </w:divBdr>
    </w:div>
    <w:div w:id="1941252418">
      <w:bodyDiv w:val="1"/>
      <w:marLeft w:val="0"/>
      <w:marRight w:val="0"/>
      <w:marTop w:val="0"/>
      <w:marBottom w:val="0"/>
      <w:divBdr>
        <w:top w:val="none" w:sz="0" w:space="0" w:color="auto"/>
        <w:left w:val="none" w:sz="0" w:space="0" w:color="auto"/>
        <w:bottom w:val="none" w:sz="0" w:space="0" w:color="auto"/>
        <w:right w:val="none" w:sz="0" w:space="0" w:color="auto"/>
      </w:divBdr>
    </w:div>
    <w:div w:id="1973293278">
      <w:bodyDiv w:val="1"/>
      <w:marLeft w:val="0"/>
      <w:marRight w:val="0"/>
      <w:marTop w:val="0"/>
      <w:marBottom w:val="0"/>
      <w:divBdr>
        <w:top w:val="none" w:sz="0" w:space="0" w:color="auto"/>
        <w:left w:val="none" w:sz="0" w:space="0" w:color="auto"/>
        <w:bottom w:val="none" w:sz="0" w:space="0" w:color="auto"/>
        <w:right w:val="none" w:sz="0" w:space="0" w:color="auto"/>
      </w:divBdr>
    </w:div>
    <w:div w:id="2003855047">
      <w:bodyDiv w:val="1"/>
      <w:marLeft w:val="0"/>
      <w:marRight w:val="0"/>
      <w:marTop w:val="0"/>
      <w:marBottom w:val="0"/>
      <w:divBdr>
        <w:top w:val="none" w:sz="0" w:space="0" w:color="auto"/>
        <w:left w:val="none" w:sz="0" w:space="0" w:color="auto"/>
        <w:bottom w:val="none" w:sz="0" w:space="0" w:color="auto"/>
        <w:right w:val="none" w:sz="0" w:space="0" w:color="auto"/>
      </w:divBdr>
    </w:div>
    <w:div w:id="2022777091">
      <w:bodyDiv w:val="1"/>
      <w:marLeft w:val="0"/>
      <w:marRight w:val="0"/>
      <w:marTop w:val="0"/>
      <w:marBottom w:val="0"/>
      <w:divBdr>
        <w:top w:val="none" w:sz="0" w:space="0" w:color="auto"/>
        <w:left w:val="none" w:sz="0" w:space="0" w:color="auto"/>
        <w:bottom w:val="none" w:sz="0" w:space="0" w:color="auto"/>
        <w:right w:val="none" w:sz="0" w:space="0" w:color="auto"/>
      </w:divBdr>
    </w:div>
    <w:div w:id="2031182493">
      <w:bodyDiv w:val="1"/>
      <w:marLeft w:val="0"/>
      <w:marRight w:val="0"/>
      <w:marTop w:val="0"/>
      <w:marBottom w:val="0"/>
      <w:divBdr>
        <w:top w:val="none" w:sz="0" w:space="0" w:color="auto"/>
        <w:left w:val="none" w:sz="0" w:space="0" w:color="auto"/>
        <w:bottom w:val="none" w:sz="0" w:space="0" w:color="auto"/>
        <w:right w:val="none" w:sz="0" w:space="0" w:color="auto"/>
      </w:divBdr>
    </w:div>
    <w:div w:id="2068336432">
      <w:bodyDiv w:val="1"/>
      <w:marLeft w:val="0"/>
      <w:marRight w:val="0"/>
      <w:marTop w:val="0"/>
      <w:marBottom w:val="0"/>
      <w:divBdr>
        <w:top w:val="none" w:sz="0" w:space="0" w:color="auto"/>
        <w:left w:val="none" w:sz="0" w:space="0" w:color="auto"/>
        <w:bottom w:val="none" w:sz="0" w:space="0" w:color="auto"/>
        <w:right w:val="none" w:sz="0" w:space="0" w:color="auto"/>
      </w:divBdr>
    </w:div>
    <w:div w:id="2075622633">
      <w:bodyDiv w:val="1"/>
      <w:marLeft w:val="0"/>
      <w:marRight w:val="0"/>
      <w:marTop w:val="0"/>
      <w:marBottom w:val="0"/>
      <w:divBdr>
        <w:top w:val="none" w:sz="0" w:space="0" w:color="auto"/>
        <w:left w:val="none" w:sz="0" w:space="0" w:color="auto"/>
        <w:bottom w:val="none" w:sz="0" w:space="0" w:color="auto"/>
        <w:right w:val="none" w:sz="0" w:space="0" w:color="auto"/>
      </w:divBdr>
    </w:div>
    <w:div w:id="2106610210">
      <w:bodyDiv w:val="1"/>
      <w:marLeft w:val="0"/>
      <w:marRight w:val="0"/>
      <w:marTop w:val="0"/>
      <w:marBottom w:val="0"/>
      <w:divBdr>
        <w:top w:val="none" w:sz="0" w:space="0" w:color="auto"/>
        <w:left w:val="none" w:sz="0" w:space="0" w:color="auto"/>
        <w:bottom w:val="none" w:sz="0" w:space="0" w:color="auto"/>
        <w:right w:val="none" w:sz="0" w:space="0" w:color="auto"/>
      </w:divBdr>
    </w:div>
    <w:div w:id="2125228130">
      <w:bodyDiv w:val="1"/>
      <w:marLeft w:val="0"/>
      <w:marRight w:val="0"/>
      <w:marTop w:val="0"/>
      <w:marBottom w:val="0"/>
      <w:divBdr>
        <w:top w:val="none" w:sz="0" w:space="0" w:color="auto"/>
        <w:left w:val="none" w:sz="0" w:space="0" w:color="auto"/>
        <w:bottom w:val="none" w:sz="0" w:space="0" w:color="auto"/>
        <w:right w:val="none" w:sz="0" w:space="0" w:color="auto"/>
      </w:divBdr>
    </w:div>
    <w:div w:id="21434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735F-3C27-48A6-88B6-ED367F9E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8926</Words>
  <Characters>50881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24</cp:revision>
  <dcterms:created xsi:type="dcterms:W3CDTF">2025-06-20T07:05:00Z</dcterms:created>
  <dcterms:modified xsi:type="dcterms:W3CDTF">2025-11-09T07:20:00Z</dcterms:modified>
</cp:coreProperties>
</file>